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7C" w:rsidRDefault="00727D7C" w:rsidP="00C45E78">
      <w:pPr>
        <w:pStyle w:val="centrato"/>
      </w:pPr>
      <w:proofErr w:type="spellStart"/>
      <w:r>
        <w:t>LUMSA</w:t>
      </w:r>
      <w:proofErr w:type="spellEnd"/>
      <w:r>
        <w:t xml:space="preserve"> – </w:t>
      </w:r>
      <w:proofErr w:type="spellStart"/>
      <w:r>
        <w:t>SSPL</w:t>
      </w:r>
      <w:proofErr w:type="spellEnd"/>
      <w:r>
        <w:t xml:space="preserve"> – </w:t>
      </w:r>
      <w:proofErr w:type="spellStart"/>
      <w:r>
        <w:t>II</w:t>
      </w:r>
      <w:proofErr w:type="spellEnd"/>
      <w:r>
        <w:t xml:space="preserve"> ANNO</w:t>
      </w:r>
    </w:p>
    <w:p w:rsidR="00727D7C" w:rsidRPr="00727D7C" w:rsidRDefault="00727D7C" w:rsidP="00C45E78">
      <w:pPr>
        <w:pStyle w:val="centrato"/>
        <w:rPr>
          <w:u w:val="single"/>
        </w:rPr>
      </w:pPr>
      <w:r>
        <w:rPr>
          <w:u w:val="single"/>
        </w:rPr>
        <w:t xml:space="preserve">Diritto amministrativo </w:t>
      </w:r>
    </w:p>
    <w:p w:rsidR="00F4578A" w:rsidRDefault="00C45E78" w:rsidP="00C45E78">
      <w:pPr>
        <w:pStyle w:val="centrato"/>
      </w:pPr>
      <w:r>
        <w:t>L</w:t>
      </w:r>
      <w:r w:rsidR="0007393E">
        <w:t>e</w:t>
      </w:r>
      <w:r>
        <w:t>zione del 9 giugno 2020</w:t>
      </w:r>
    </w:p>
    <w:p w:rsidR="00C45E78" w:rsidRDefault="00C45E78" w:rsidP="00C45E78">
      <w:r>
        <w:rPr>
          <w:u w:val="single"/>
        </w:rPr>
        <w:t>La responsabilità della P.A.</w:t>
      </w:r>
    </w:p>
    <w:p w:rsidR="00C45E78" w:rsidRDefault="00C45E78" w:rsidP="00C45E78"/>
    <w:p w:rsidR="00C45E78" w:rsidRPr="00727D7C" w:rsidRDefault="00C45E78" w:rsidP="00C45E78">
      <w:pPr>
        <w:pStyle w:val="Stile2"/>
      </w:pPr>
      <w:r w:rsidRPr="00727D7C">
        <w:t>1.</w:t>
      </w:r>
      <w:r w:rsidRPr="00727D7C">
        <w:tab/>
        <w:t>Le fonti: art. 28 cost., art. 2043 c.c., art. 30 Cod. Proc. Amm.</w:t>
      </w:r>
    </w:p>
    <w:p w:rsidR="00C45E78" w:rsidRPr="00727D7C" w:rsidRDefault="00C45E78" w:rsidP="00C45E78">
      <w:pPr>
        <w:pStyle w:val="Stile2"/>
      </w:pPr>
    </w:p>
    <w:p w:rsidR="00C45E78" w:rsidRDefault="00C45E78" w:rsidP="00C45E78">
      <w:pPr>
        <w:pStyle w:val="Stile2"/>
      </w:pPr>
      <w:r w:rsidRPr="00C45E78">
        <w:t>2.</w:t>
      </w:r>
      <w:r w:rsidRPr="00C45E78">
        <w:tab/>
        <w:t xml:space="preserve">Dalla </w:t>
      </w:r>
      <w:proofErr w:type="spellStart"/>
      <w:r w:rsidR="00727D7C">
        <w:t>irr</w:t>
      </w:r>
      <w:r w:rsidRPr="00C45E78">
        <w:t>responsabilità</w:t>
      </w:r>
      <w:proofErr w:type="spellEnd"/>
      <w:r w:rsidRPr="00C45E78">
        <w:t xml:space="preserve">  alla responsa</w:t>
      </w:r>
      <w:r>
        <w:t>bilità: responsabilità delle P.A. e responsabilità degli agenti (art. 28 Cost.).</w:t>
      </w:r>
    </w:p>
    <w:p w:rsidR="00C45E78" w:rsidRDefault="00C45E78" w:rsidP="00C45E78">
      <w:pPr>
        <w:pStyle w:val="Stile2"/>
      </w:pPr>
      <w:r>
        <w:tab/>
        <w:t>Una responsabilità solidale.</w:t>
      </w:r>
    </w:p>
    <w:p w:rsidR="00C45E78" w:rsidRDefault="00C45E78" w:rsidP="00C45E78">
      <w:pPr>
        <w:pStyle w:val="Stile2"/>
      </w:pPr>
      <w:r>
        <w:tab/>
        <w:t>In realtà: azione di responsabilità civile contro l</w:t>
      </w:r>
      <w:r w:rsidR="00727D7C">
        <w:t>a</w:t>
      </w:r>
      <w:r>
        <w:t xml:space="preserve"> </w:t>
      </w:r>
      <w:proofErr w:type="spellStart"/>
      <w:r>
        <w:t>P.</w:t>
      </w:r>
      <w:r w:rsidR="00727D7C">
        <w:t>aa</w:t>
      </w:r>
      <w:r>
        <w:t>.</w:t>
      </w:r>
      <w:proofErr w:type="spellEnd"/>
      <w:r>
        <w:t xml:space="preserve">, il cui patrimonio è più capiente. </w:t>
      </w:r>
    </w:p>
    <w:p w:rsidR="00C45E78" w:rsidRDefault="00C45E78" w:rsidP="00C45E78">
      <w:pPr>
        <w:pStyle w:val="Stile2"/>
      </w:pPr>
      <w:r>
        <w:tab/>
        <w:t xml:space="preserve">Azione di regresso della P.A. verso l’agente nelle forme e nei limiti della </w:t>
      </w:r>
      <w:r w:rsidR="00961E06">
        <w:t xml:space="preserve">responsabilità per danno erariale </w:t>
      </w:r>
      <w:r>
        <w:t>(</w:t>
      </w:r>
      <w:r w:rsidR="00961E06">
        <w:t xml:space="preserve">art. </w:t>
      </w:r>
      <w:r>
        <w:t>1 l. 20/</w:t>
      </w:r>
      <w:r w:rsidR="00961E06">
        <w:t>1994).</w:t>
      </w:r>
    </w:p>
    <w:p w:rsidR="00961E06" w:rsidRDefault="00961E06" w:rsidP="00C45E78">
      <w:pPr>
        <w:pStyle w:val="Stile2"/>
      </w:pPr>
    </w:p>
    <w:p w:rsidR="00961E06" w:rsidRDefault="00961E06" w:rsidP="00C45E78">
      <w:pPr>
        <w:pStyle w:val="Stile2"/>
      </w:pPr>
      <w:r>
        <w:t>3.</w:t>
      </w:r>
      <w:r>
        <w:tab/>
        <w:t>Alcune specie di responsabilità:</w:t>
      </w:r>
    </w:p>
    <w:p w:rsidR="00961E06" w:rsidRDefault="00961E06" w:rsidP="00C45E78">
      <w:pPr>
        <w:pStyle w:val="Stile2"/>
      </w:pPr>
      <w:r>
        <w:tab/>
        <w:t>a) gestione di pubblici servizi</w:t>
      </w:r>
    </w:p>
    <w:p w:rsidR="00961E06" w:rsidRDefault="00961E06" w:rsidP="00C45E78">
      <w:pPr>
        <w:pStyle w:val="Stile2"/>
      </w:pPr>
      <w:r>
        <w:tab/>
        <w:t xml:space="preserve">b) culpa in vigilando: artt. </w:t>
      </w:r>
      <w:proofErr w:type="spellStart"/>
      <w:r>
        <w:t>2047-2049</w:t>
      </w:r>
      <w:proofErr w:type="spellEnd"/>
      <w:r>
        <w:t xml:space="preserve"> c.c. </w:t>
      </w:r>
    </w:p>
    <w:p w:rsidR="00961E06" w:rsidRDefault="00961E06" w:rsidP="00C45E78">
      <w:pPr>
        <w:pStyle w:val="Stile2"/>
      </w:pPr>
      <w:r>
        <w:tab/>
        <w:t>c) esercizio di attività pericolose: art. 2050 c.c.</w:t>
      </w:r>
    </w:p>
    <w:p w:rsidR="00E43F7A" w:rsidRDefault="00E43F7A" w:rsidP="00C45E78">
      <w:pPr>
        <w:pStyle w:val="Stile2"/>
      </w:pPr>
    </w:p>
    <w:p w:rsidR="00E43F7A" w:rsidRDefault="00E43F7A" w:rsidP="00C45E78">
      <w:pPr>
        <w:pStyle w:val="Stile2"/>
      </w:pPr>
      <w:r>
        <w:t>4.</w:t>
      </w:r>
      <w:r>
        <w:tab/>
        <w:t>La responsabilità da “</w:t>
      </w:r>
      <w:r>
        <w:rPr>
          <w:i/>
        </w:rPr>
        <w:t>illegittimo esercizio dell’attività amministrativa o da mancato esercizio di quella obbligatoria</w:t>
      </w:r>
      <w:r>
        <w:t>” (ART. 30 COD. Proc. Amm.)</w:t>
      </w:r>
    </w:p>
    <w:p w:rsidR="00E43F7A" w:rsidRDefault="00E43F7A" w:rsidP="00C45E78">
      <w:pPr>
        <w:pStyle w:val="Stile2"/>
      </w:pPr>
      <w:r>
        <w:tab/>
        <w:t>Le peculiarità:</w:t>
      </w:r>
    </w:p>
    <w:p w:rsidR="00E43F7A" w:rsidRDefault="00E43F7A" w:rsidP="00C45E78">
      <w:pPr>
        <w:pStyle w:val="Stile2"/>
      </w:pPr>
      <w:r>
        <w:tab/>
        <w:t xml:space="preserve">a) la </w:t>
      </w:r>
      <w:r w:rsidR="00727D7C">
        <w:t xml:space="preserve">giurisdizione </w:t>
      </w:r>
      <w:r>
        <w:t>amministrativa</w:t>
      </w:r>
    </w:p>
    <w:p w:rsidR="00E43F7A" w:rsidRDefault="00E43F7A" w:rsidP="00C45E78">
      <w:pPr>
        <w:pStyle w:val="Stile2"/>
      </w:pPr>
      <w:r>
        <w:tab/>
        <w:t xml:space="preserve">b) la limitazione della responsabilità (art. 30 </w:t>
      </w:r>
      <w:proofErr w:type="spellStart"/>
      <w:r>
        <w:t>co</w:t>
      </w:r>
      <w:proofErr w:type="spellEnd"/>
      <w:r>
        <w:t xml:space="preserve">. 3 </w:t>
      </w:r>
      <w:proofErr w:type="spellStart"/>
      <w:r>
        <w:t>C.P.A.</w:t>
      </w:r>
      <w:proofErr w:type="spellEnd"/>
      <w:r>
        <w:t xml:space="preserve"> e art. 1227 </w:t>
      </w:r>
      <w:proofErr w:type="spellStart"/>
      <w:r>
        <w:t>co</w:t>
      </w:r>
      <w:proofErr w:type="spellEnd"/>
      <w:r>
        <w:t>. 2 c.c.)</w:t>
      </w:r>
    </w:p>
    <w:p w:rsidR="00E43F7A" w:rsidRDefault="00E43F7A" w:rsidP="00C45E78">
      <w:pPr>
        <w:pStyle w:val="Stile2"/>
      </w:pPr>
    </w:p>
    <w:p w:rsidR="00E43F7A" w:rsidRDefault="00E43F7A" w:rsidP="00C45E78">
      <w:pPr>
        <w:pStyle w:val="Stile2"/>
      </w:pPr>
      <w:r>
        <w:t>5.</w:t>
      </w:r>
      <w:r>
        <w:tab/>
        <w:t>La responsabilità da attività  lecita:</w:t>
      </w:r>
    </w:p>
    <w:p w:rsidR="00727D7C" w:rsidRDefault="00E43F7A" w:rsidP="00C45E78">
      <w:pPr>
        <w:pStyle w:val="Stile2"/>
      </w:pPr>
      <w:r>
        <w:tab/>
        <w:t xml:space="preserve">art. 42 </w:t>
      </w:r>
      <w:proofErr w:type="spellStart"/>
      <w:r>
        <w:t>co</w:t>
      </w:r>
      <w:proofErr w:type="spellEnd"/>
      <w:r>
        <w:t>. 3 Cost. – L’indennità di espropriazione e la misura dell’indennizzo</w:t>
      </w:r>
      <w:r w:rsidR="00727D7C">
        <w:t>.</w:t>
      </w:r>
    </w:p>
    <w:p w:rsidR="00E43F7A" w:rsidRDefault="00727D7C" w:rsidP="00727D7C">
      <w:pPr>
        <w:pStyle w:val="Stile2"/>
        <w:ind w:hanging="1"/>
      </w:pPr>
      <w:r>
        <w:t>U</w:t>
      </w:r>
      <w:r w:rsidR="00E43F7A">
        <w:t>n remoto precedente: l’art. 46 della L. 25.6.1865, n. 2359 (legge fondamentale sull’espropriazione</w:t>
      </w:r>
      <w:r>
        <w:t>)</w:t>
      </w:r>
      <w:r w:rsidR="00E43F7A">
        <w:t>.</w:t>
      </w:r>
    </w:p>
    <w:p w:rsidR="00E43F7A" w:rsidRDefault="00E43F7A" w:rsidP="00C45E78">
      <w:pPr>
        <w:pStyle w:val="Stile2"/>
      </w:pPr>
    </w:p>
    <w:p w:rsidR="00E43F7A" w:rsidRDefault="00E43F7A" w:rsidP="00C45E78">
      <w:pPr>
        <w:pStyle w:val="Stile2"/>
      </w:pPr>
      <w:r>
        <w:lastRenderedPageBreak/>
        <w:t>6.</w:t>
      </w:r>
      <w:r>
        <w:tab/>
        <w:t xml:space="preserve">Il danno da ritardo nella conclusione del procedimento: risarcimento e indennizzo (art. </w:t>
      </w:r>
      <w:proofErr w:type="spellStart"/>
      <w:r>
        <w:t>2-bis</w:t>
      </w:r>
      <w:proofErr w:type="spellEnd"/>
      <w:r>
        <w:t xml:space="preserve"> L. 241/1990)</w:t>
      </w:r>
    </w:p>
    <w:p w:rsidR="00E43F7A" w:rsidRDefault="00E43F7A" w:rsidP="00C45E78">
      <w:pPr>
        <w:pStyle w:val="Stile2"/>
      </w:pPr>
    </w:p>
    <w:p w:rsidR="00E43F7A" w:rsidRDefault="00E43F7A" w:rsidP="00C45E78">
      <w:pPr>
        <w:pStyle w:val="Stile2"/>
      </w:pPr>
      <w:r>
        <w:t>7.</w:t>
      </w:r>
      <w:r>
        <w:tab/>
        <w:t>Arricchimento senza causa e P.A.:</w:t>
      </w:r>
    </w:p>
    <w:p w:rsidR="00E43F7A" w:rsidRDefault="00E43F7A" w:rsidP="00C45E78">
      <w:pPr>
        <w:pStyle w:val="Stile2"/>
      </w:pPr>
      <w:r>
        <w:tab/>
        <w:t>art. 2041 c.c. – I casi di esclusiva responsabilità dell’</w:t>
      </w:r>
      <w:r w:rsidR="0050389B">
        <w:t>agente (</w:t>
      </w:r>
      <w:r>
        <w:t xml:space="preserve">art. 191 </w:t>
      </w:r>
      <w:proofErr w:type="spellStart"/>
      <w:r>
        <w:t>co</w:t>
      </w:r>
      <w:proofErr w:type="spellEnd"/>
      <w:r>
        <w:t xml:space="preserve">. 4 </w:t>
      </w:r>
      <w:proofErr w:type="spellStart"/>
      <w:r>
        <w:t>d.lgs.vo</w:t>
      </w:r>
      <w:proofErr w:type="spellEnd"/>
      <w:r>
        <w:t xml:space="preserve"> 267/2000)</w:t>
      </w:r>
      <w:r w:rsidR="0050389B">
        <w:t>.</w:t>
      </w:r>
    </w:p>
    <w:p w:rsidR="0050389B" w:rsidRDefault="0050389B" w:rsidP="00C45E78">
      <w:pPr>
        <w:pStyle w:val="Stile2"/>
      </w:pPr>
    </w:p>
    <w:p w:rsidR="0050389B" w:rsidRDefault="0050389B" w:rsidP="00C45E78">
      <w:pPr>
        <w:pStyle w:val="Stile2"/>
      </w:pPr>
      <w:r>
        <w:t>8.</w:t>
      </w:r>
      <w:r>
        <w:tab/>
        <w:t xml:space="preserve">Risarcimento </w:t>
      </w:r>
      <w:r w:rsidR="00727D7C">
        <w:t xml:space="preserve">del </w:t>
      </w:r>
      <w:r>
        <w:t>danno per ragioni di solidarietà sociale: calamità naturali, pandemie etc. La legislazione speciale.</w:t>
      </w:r>
    </w:p>
    <w:p w:rsidR="0050389B" w:rsidRDefault="0050389B" w:rsidP="00C45E78">
      <w:pPr>
        <w:pStyle w:val="Stile2"/>
      </w:pPr>
    </w:p>
    <w:p w:rsidR="0050389B" w:rsidRDefault="0050389B" w:rsidP="00C45E78">
      <w:pPr>
        <w:pStyle w:val="Stile2"/>
      </w:pPr>
      <w:r>
        <w:t>9.</w:t>
      </w:r>
      <w:r>
        <w:tab/>
        <w:t>La responsabilità degli agenti verso la P.A. (anche per i danni che la P.A. ha dovuto risarcire a terzi).</w:t>
      </w:r>
    </w:p>
    <w:p w:rsidR="0050389B" w:rsidRDefault="0050389B" w:rsidP="0050389B">
      <w:pPr>
        <w:pStyle w:val="Stile2"/>
        <w:ind w:left="1416" w:hanging="708"/>
      </w:pPr>
      <w:r>
        <w:t>-</w:t>
      </w:r>
      <w:r>
        <w:tab/>
        <w:t>L’art. 1 L. 20/1994. La responsabilità amministrativa (= per danno      erariale) e la sua disciplina.</w:t>
      </w:r>
    </w:p>
    <w:p w:rsidR="0050389B" w:rsidRPr="00E43F7A" w:rsidRDefault="0050389B" w:rsidP="00C45E78">
      <w:pPr>
        <w:pStyle w:val="Stile2"/>
      </w:pPr>
      <w:r>
        <w:tab/>
        <w:t>-</w:t>
      </w:r>
      <w:r>
        <w:tab/>
        <w:t xml:space="preserve">La responsabilità dei dirigenti (art. 21 </w:t>
      </w:r>
      <w:proofErr w:type="spellStart"/>
      <w:r>
        <w:t>d.lgs.vo</w:t>
      </w:r>
      <w:proofErr w:type="spellEnd"/>
      <w:r>
        <w:t xml:space="preserve"> n. 165/2001).</w:t>
      </w:r>
    </w:p>
    <w:sectPr w:rsidR="0050389B" w:rsidRPr="00E43F7A" w:rsidSect="00F134A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5E78"/>
    <w:rsid w:val="0003678C"/>
    <w:rsid w:val="00060B35"/>
    <w:rsid w:val="0007393E"/>
    <w:rsid w:val="00161EAB"/>
    <w:rsid w:val="00171406"/>
    <w:rsid w:val="001B1008"/>
    <w:rsid w:val="002004E5"/>
    <w:rsid w:val="0022101D"/>
    <w:rsid w:val="002420FD"/>
    <w:rsid w:val="00250B1D"/>
    <w:rsid w:val="0025413B"/>
    <w:rsid w:val="0027129A"/>
    <w:rsid w:val="00276D71"/>
    <w:rsid w:val="00371EC0"/>
    <w:rsid w:val="00382440"/>
    <w:rsid w:val="003D6F13"/>
    <w:rsid w:val="003E222F"/>
    <w:rsid w:val="004B5C76"/>
    <w:rsid w:val="004D39C5"/>
    <w:rsid w:val="0050389B"/>
    <w:rsid w:val="00556B90"/>
    <w:rsid w:val="005B4E2B"/>
    <w:rsid w:val="005C1272"/>
    <w:rsid w:val="005D4FF8"/>
    <w:rsid w:val="0062480C"/>
    <w:rsid w:val="00674922"/>
    <w:rsid w:val="00727D7C"/>
    <w:rsid w:val="0074795E"/>
    <w:rsid w:val="00821018"/>
    <w:rsid w:val="00844A37"/>
    <w:rsid w:val="009023F5"/>
    <w:rsid w:val="00961E06"/>
    <w:rsid w:val="00996171"/>
    <w:rsid w:val="009C509B"/>
    <w:rsid w:val="009D4466"/>
    <w:rsid w:val="009E0F88"/>
    <w:rsid w:val="009F29B5"/>
    <w:rsid w:val="00A53261"/>
    <w:rsid w:val="00AA726D"/>
    <w:rsid w:val="00AB2E3F"/>
    <w:rsid w:val="00B1708E"/>
    <w:rsid w:val="00B91B80"/>
    <w:rsid w:val="00BC10EC"/>
    <w:rsid w:val="00BE06DC"/>
    <w:rsid w:val="00BE124F"/>
    <w:rsid w:val="00BF61C5"/>
    <w:rsid w:val="00C332E4"/>
    <w:rsid w:val="00C45E78"/>
    <w:rsid w:val="00C7448C"/>
    <w:rsid w:val="00C86E98"/>
    <w:rsid w:val="00D14AE3"/>
    <w:rsid w:val="00D44AEC"/>
    <w:rsid w:val="00D60B44"/>
    <w:rsid w:val="00D77D72"/>
    <w:rsid w:val="00D87158"/>
    <w:rsid w:val="00D93D22"/>
    <w:rsid w:val="00E43F7A"/>
    <w:rsid w:val="00E73BF8"/>
    <w:rsid w:val="00E80230"/>
    <w:rsid w:val="00EC1111"/>
    <w:rsid w:val="00EC46AB"/>
    <w:rsid w:val="00F134A0"/>
    <w:rsid w:val="00F4578A"/>
    <w:rsid w:val="00F6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1EC0"/>
    <w:pPr>
      <w:spacing w:line="360" w:lineRule="auto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4">
    <w:name w:val="Stile4"/>
    <w:basedOn w:val="Normale"/>
    <w:next w:val="Normale"/>
    <w:link w:val="Stile4Carattere"/>
    <w:qFormat/>
    <w:rsid w:val="0062480C"/>
    <w:pPr>
      <w:jc w:val="center"/>
    </w:pPr>
    <w:rPr>
      <w:rFonts w:eastAsia="Times New Roman"/>
      <w:b/>
      <w:lang w:eastAsia="it-IT"/>
    </w:rPr>
  </w:style>
  <w:style w:type="character" w:customStyle="1" w:styleId="Stile4Carattere">
    <w:name w:val="Stile4 Carattere"/>
    <w:basedOn w:val="Carpredefinitoparagrafo"/>
    <w:link w:val="Stile4"/>
    <w:rsid w:val="0062480C"/>
    <w:rPr>
      <w:rFonts w:ascii="Times New Roman" w:eastAsia="Times New Roman" w:hAnsi="Times New Roman" w:cs="Times New Roman"/>
      <w:b/>
      <w:sz w:val="24"/>
      <w:lang w:eastAsia="it-IT"/>
    </w:rPr>
  </w:style>
  <w:style w:type="paragraph" w:customStyle="1" w:styleId="Stile5">
    <w:name w:val="Stile5"/>
    <w:basedOn w:val="Normale"/>
    <w:link w:val="Stile5Carattere"/>
    <w:qFormat/>
    <w:rsid w:val="00371EC0"/>
    <w:pPr>
      <w:spacing w:before="100" w:line="480" w:lineRule="exact"/>
      <w:ind w:left="709" w:hanging="709"/>
    </w:pPr>
    <w:rPr>
      <w:rFonts w:ascii="CG Times" w:eastAsia="Times New Roman" w:hAnsi="CG Times"/>
      <w:szCs w:val="24"/>
      <w:lang w:eastAsia="it-IT"/>
    </w:rPr>
  </w:style>
  <w:style w:type="character" w:customStyle="1" w:styleId="Stile5Carattere">
    <w:name w:val="Stile5 Carattere"/>
    <w:basedOn w:val="Carpredefinitoparagrafo"/>
    <w:link w:val="Stile5"/>
    <w:rsid w:val="00371EC0"/>
    <w:rPr>
      <w:rFonts w:ascii="CG Times" w:eastAsia="Times New Roman" w:hAnsi="CG Times" w:cs="Times New Roman"/>
      <w:sz w:val="24"/>
      <w:szCs w:val="24"/>
      <w:lang w:eastAsia="it-IT"/>
    </w:rPr>
  </w:style>
  <w:style w:type="paragraph" w:customStyle="1" w:styleId="Stile6">
    <w:name w:val="Stile6"/>
    <w:basedOn w:val="Normale"/>
    <w:link w:val="Stile6Carattere"/>
    <w:qFormat/>
    <w:rsid w:val="0003678C"/>
    <w:pPr>
      <w:widowControl w:val="0"/>
      <w:ind w:left="284" w:hanging="284"/>
    </w:pPr>
    <w:rPr>
      <w:rFonts w:eastAsia="Times New Roman"/>
      <w:lang w:eastAsia="it-IT"/>
    </w:rPr>
  </w:style>
  <w:style w:type="character" w:customStyle="1" w:styleId="Stile6Carattere">
    <w:name w:val="Stile6 Carattere"/>
    <w:basedOn w:val="Carpredefinitoparagrafo"/>
    <w:link w:val="Stile6"/>
    <w:rsid w:val="0003678C"/>
    <w:rPr>
      <w:rFonts w:eastAsia="Times New Roman"/>
      <w:sz w:val="24"/>
      <w:lang w:eastAsia="it-IT"/>
    </w:rPr>
  </w:style>
  <w:style w:type="paragraph" w:customStyle="1" w:styleId="Stile3">
    <w:name w:val="Stile3"/>
    <w:basedOn w:val="Normale"/>
    <w:qFormat/>
    <w:rsid w:val="00C332E4"/>
    <w:pPr>
      <w:ind w:firstLine="709"/>
    </w:pPr>
    <w:rPr>
      <w:rFonts w:eastAsia="Times New Roman"/>
      <w:szCs w:val="24"/>
      <w:lang w:eastAsia="it-IT"/>
    </w:rPr>
  </w:style>
  <w:style w:type="paragraph" w:customStyle="1" w:styleId="sporgente">
    <w:name w:val="sporgente"/>
    <w:basedOn w:val="Normale"/>
    <w:link w:val="sporgenteCarattere"/>
    <w:qFormat/>
    <w:rsid w:val="003D6F13"/>
    <w:pPr>
      <w:ind w:left="709" w:hanging="709"/>
    </w:pPr>
    <w:rPr>
      <w:rFonts w:ascii="CG Times" w:eastAsia="Times New Roman" w:hAnsi="CG Times"/>
      <w:szCs w:val="24"/>
      <w:lang w:eastAsia="it-IT"/>
    </w:rPr>
  </w:style>
  <w:style w:type="character" w:customStyle="1" w:styleId="sporgenteCarattere">
    <w:name w:val="sporgente Carattere"/>
    <w:basedOn w:val="Carpredefinitoparagrafo"/>
    <w:link w:val="sporgente"/>
    <w:rsid w:val="003D6F13"/>
    <w:rPr>
      <w:rFonts w:ascii="CG Times" w:eastAsia="Times New Roman" w:hAnsi="CG Times"/>
      <w:sz w:val="24"/>
      <w:szCs w:val="24"/>
      <w:lang w:eastAsia="it-IT"/>
    </w:rPr>
  </w:style>
  <w:style w:type="paragraph" w:customStyle="1" w:styleId="centrato">
    <w:name w:val="centrato"/>
    <w:basedOn w:val="Normale"/>
    <w:link w:val="centratoCarattere"/>
    <w:qFormat/>
    <w:rsid w:val="00D14AE3"/>
    <w:pPr>
      <w:jc w:val="center"/>
    </w:pPr>
    <w:rPr>
      <w:rFonts w:eastAsia="Times New Roman"/>
      <w:b/>
      <w:lang w:eastAsia="it-IT"/>
    </w:rPr>
  </w:style>
  <w:style w:type="character" w:customStyle="1" w:styleId="centratoCarattere">
    <w:name w:val="centrato Carattere"/>
    <w:basedOn w:val="Carpredefinitoparagrafo"/>
    <w:link w:val="centrato"/>
    <w:rsid w:val="00D14AE3"/>
    <w:rPr>
      <w:rFonts w:eastAsia="Times New Roman"/>
      <w:b/>
      <w:sz w:val="24"/>
      <w:lang w:eastAsia="it-IT"/>
    </w:rPr>
  </w:style>
  <w:style w:type="paragraph" w:customStyle="1" w:styleId="primariga">
    <w:name w:val="prima riga"/>
    <w:basedOn w:val="Normale"/>
    <w:qFormat/>
    <w:rsid w:val="00171406"/>
    <w:pPr>
      <w:ind w:firstLine="709"/>
    </w:pPr>
    <w:rPr>
      <w:rFonts w:eastAsia="Times New Roman"/>
      <w:szCs w:val="24"/>
      <w:lang w:eastAsia="it-IT"/>
    </w:rPr>
  </w:style>
  <w:style w:type="paragraph" w:customStyle="1" w:styleId="Stile2">
    <w:name w:val="Stile2"/>
    <w:basedOn w:val="Normale"/>
    <w:autoRedefine/>
    <w:qFormat/>
    <w:rsid w:val="00F6542B"/>
    <w:pPr>
      <w:ind w:left="709" w:hanging="709"/>
    </w:pPr>
    <w:rPr>
      <w:rFonts w:cstheme="minorBidi"/>
      <w:szCs w:val="22"/>
    </w:rPr>
  </w:style>
  <w:style w:type="paragraph" w:customStyle="1" w:styleId="Stile1">
    <w:name w:val="Stile1"/>
    <w:basedOn w:val="Normale"/>
    <w:link w:val="Stile1Carattere"/>
    <w:qFormat/>
    <w:rsid w:val="00F6542B"/>
    <w:pPr>
      <w:ind w:firstLine="709"/>
    </w:pPr>
    <w:rPr>
      <w:rFonts w:cstheme="minorBidi"/>
      <w:szCs w:val="22"/>
    </w:rPr>
  </w:style>
  <w:style w:type="character" w:customStyle="1" w:styleId="Stile1Carattere">
    <w:name w:val="Stile1 Carattere"/>
    <w:basedOn w:val="Carpredefinitoparagrafo"/>
    <w:link w:val="Stile1"/>
    <w:rsid w:val="00F6542B"/>
    <w:rPr>
      <w:rFonts w:cstheme="minorBidi"/>
      <w:sz w:val="24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C45E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5E78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5E7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5E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5E7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enza</cp:lastModifiedBy>
  <cp:revision>2</cp:revision>
  <cp:lastPrinted>2020-06-08T09:45:00Z</cp:lastPrinted>
  <dcterms:created xsi:type="dcterms:W3CDTF">2020-06-08T09:58:00Z</dcterms:created>
  <dcterms:modified xsi:type="dcterms:W3CDTF">2020-06-08T09:58:00Z</dcterms:modified>
</cp:coreProperties>
</file>