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8A" w:rsidRDefault="00DD41BA" w:rsidP="00DD41BA">
      <w:pPr>
        <w:pStyle w:val="centrato"/>
      </w:pPr>
      <w:proofErr w:type="spellStart"/>
      <w:r>
        <w:t>LUMSA</w:t>
      </w:r>
      <w:proofErr w:type="spellEnd"/>
      <w:r>
        <w:t xml:space="preserve"> – </w:t>
      </w:r>
      <w:proofErr w:type="spellStart"/>
      <w:r>
        <w:t>SSPL</w:t>
      </w:r>
      <w:proofErr w:type="spellEnd"/>
      <w:r>
        <w:t xml:space="preserve"> – </w:t>
      </w:r>
      <w:proofErr w:type="spellStart"/>
      <w:r>
        <w:t>II</w:t>
      </w:r>
      <w:proofErr w:type="spellEnd"/>
      <w:r>
        <w:t xml:space="preserve"> Anno</w:t>
      </w:r>
    </w:p>
    <w:p w:rsidR="00DD41BA" w:rsidRDefault="00DD41BA" w:rsidP="00DD41BA">
      <w:pPr>
        <w:pStyle w:val="centrato"/>
      </w:pPr>
      <w:r>
        <w:rPr>
          <w:u w:val="single"/>
        </w:rPr>
        <w:t>Diritto amministrativo – Lezio</w:t>
      </w:r>
      <w:r w:rsidR="00486067">
        <w:rPr>
          <w:u w:val="single"/>
        </w:rPr>
        <w:t>ne</w:t>
      </w:r>
      <w:r>
        <w:rPr>
          <w:u w:val="single"/>
        </w:rPr>
        <w:t xml:space="preserve"> 19 maggio 2020</w:t>
      </w:r>
    </w:p>
    <w:p w:rsidR="00DD41BA" w:rsidRDefault="00DD41BA" w:rsidP="00DD41BA">
      <w:pPr>
        <w:pStyle w:val="centrato"/>
        <w:rPr>
          <w:u w:val="single"/>
        </w:rPr>
      </w:pPr>
      <w:r>
        <w:rPr>
          <w:u w:val="single"/>
        </w:rPr>
        <w:t>Servizi pubblici</w:t>
      </w:r>
    </w:p>
    <w:p w:rsidR="00DD41BA" w:rsidRDefault="00DD41BA" w:rsidP="00DD41BA">
      <w:pPr>
        <w:pStyle w:val="centrato"/>
      </w:pPr>
    </w:p>
    <w:p w:rsidR="00DD41BA" w:rsidRDefault="00DD41BA" w:rsidP="00DD41BA">
      <w:pPr>
        <w:pStyle w:val="Stile2"/>
      </w:pPr>
      <w:r>
        <w:t>1.</w:t>
      </w:r>
      <w:r>
        <w:tab/>
      </w:r>
      <w:r>
        <w:rPr>
          <w:u w:val="single"/>
        </w:rPr>
        <w:t>Funzioni pubbliche e servizi pubblici</w:t>
      </w:r>
      <w:r>
        <w:t xml:space="preserve">. La distinzione nel codice penale (artt. 357 e 358 c.p.): poteri </w:t>
      </w:r>
      <w:proofErr w:type="spellStart"/>
      <w:r>
        <w:t>autoritativi</w:t>
      </w:r>
      <w:proofErr w:type="spellEnd"/>
      <w:r>
        <w:t xml:space="preserve"> nella funzione pubblica; assenza di poteri </w:t>
      </w:r>
      <w:proofErr w:type="spellStart"/>
      <w:r>
        <w:t>autoritativi</w:t>
      </w:r>
      <w:proofErr w:type="spellEnd"/>
      <w:r>
        <w:t xml:space="preserve"> nel servizio pubblico.</w:t>
      </w:r>
    </w:p>
    <w:p w:rsidR="00DD41BA" w:rsidRDefault="00DD41BA" w:rsidP="00DD41BA">
      <w:pPr>
        <w:pStyle w:val="Stile2"/>
      </w:pPr>
    </w:p>
    <w:p w:rsidR="00DD41BA" w:rsidRDefault="00DD41BA" w:rsidP="00DD41BA">
      <w:pPr>
        <w:pStyle w:val="Stile2"/>
      </w:pPr>
      <w:r>
        <w:t>2.</w:t>
      </w:r>
      <w:r>
        <w:tab/>
        <w:t>Manca una definizione e una disciplina nella Costituzione.</w:t>
      </w:r>
    </w:p>
    <w:p w:rsidR="00DD41BA" w:rsidRDefault="00DD41BA" w:rsidP="00DD41BA">
      <w:pPr>
        <w:pStyle w:val="Stile2"/>
      </w:pPr>
      <w:r>
        <w:tab/>
        <w:t>Due specie di s.p.:</w:t>
      </w:r>
    </w:p>
    <w:p w:rsidR="00DD41BA" w:rsidRDefault="00DD41BA" w:rsidP="00DD41BA">
      <w:pPr>
        <w:pStyle w:val="Stile2"/>
        <w:ind w:left="1418"/>
      </w:pPr>
      <w:r>
        <w:t xml:space="preserve">- </w:t>
      </w:r>
      <w:r>
        <w:tab/>
        <w:t>s.p. prodotti da un’</w:t>
      </w:r>
      <w:r>
        <w:rPr>
          <w:u w:val="single"/>
        </w:rPr>
        <w:t>impresa</w:t>
      </w:r>
      <w:r>
        <w:t xml:space="preserve"> </w:t>
      </w:r>
      <w:r w:rsidR="00E54016">
        <w:t>(</w:t>
      </w:r>
      <w:r>
        <w:t xml:space="preserve">art. 43): mediante riserva originaria o </w:t>
      </w:r>
      <w:r w:rsidRPr="00E54016">
        <w:rPr>
          <w:u w:val="single"/>
        </w:rPr>
        <w:t>espropriazione</w:t>
      </w:r>
      <w:r>
        <w:t xml:space="preserve"> imprese che gestiscono </w:t>
      </w:r>
      <w:r>
        <w:rPr>
          <w:u w:val="single"/>
        </w:rPr>
        <w:t>servizi pubblici essenziali</w:t>
      </w:r>
      <w:r>
        <w:t xml:space="preserve"> possono essere trasferite allo Stato  o a enti pubblici</w:t>
      </w:r>
    </w:p>
    <w:p w:rsidR="00DD41BA" w:rsidRDefault="00DD41BA" w:rsidP="00DD41BA">
      <w:pPr>
        <w:pStyle w:val="Stile2"/>
        <w:ind w:left="1418"/>
      </w:pPr>
      <w:r>
        <w:t>-</w:t>
      </w:r>
      <w:r>
        <w:tab/>
        <w:t xml:space="preserve">s.p. prodotti </w:t>
      </w:r>
      <w:r w:rsidRPr="00E54016">
        <w:rPr>
          <w:u w:val="single"/>
        </w:rPr>
        <w:t>al di fuori di un’attività imprenditoriale</w:t>
      </w:r>
      <w:r w:rsidR="00E54016">
        <w:t>:</w:t>
      </w:r>
      <w:r>
        <w:t xml:space="preserve"> sanità (art. 32), assistenza e previdenza (art. 38), istruzione (artt. 33 e 34).</w:t>
      </w:r>
    </w:p>
    <w:p w:rsidR="00DD41BA" w:rsidRDefault="00DD41BA" w:rsidP="00DD41BA">
      <w:pPr>
        <w:pStyle w:val="Stile2"/>
      </w:pPr>
      <w:r>
        <w:tab/>
        <w:t xml:space="preserve">Si tratta nel primo caso di servizi </w:t>
      </w:r>
      <w:r>
        <w:rPr>
          <w:u w:val="single"/>
        </w:rPr>
        <w:t>economici</w:t>
      </w:r>
      <w:r>
        <w:t xml:space="preserve"> (ferrovie, telefonia, poste, elettricità, riscaldamento, radiotelevisione, etc.) la cui fruizione ha un prezzo che in tutto o in parte è pagato dall’</w:t>
      </w:r>
      <w:r w:rsidRPr="00E54016">
        <w:rPr>
          <w:u w:val="single"/>
        </w:rPr>
        <w:t>utente</w:t>
      </w:r>
      <w:r>
        <w:t>.</w:t>
      </w:r>
    </w:p>
    <w:p w:rsidR="00DD41BA" w:rsidRDefault="000B2612" w:rsidP="00DD41BA">
      <w:pPr>
        <w:pStyle w:val="Stile2"/>
      </w:pPr>
      <w:r>
        <w:tab/>
      </w:r>
      <w:r w:rsidR="00DD41BA">
        <w:t xml:space="preserve">Nel secondo caso si tratta di servizi </w:t>
      </w:r>
      <w:r w:rsidR="00DD41BA">
        <w:rPr>
          <w:u w:val="single"/>
        </w:rPr>
        <w:t>sociali</w:t>
      </w:r>
      <w:r w:rsidR="00DD41BA">
        <w:t xml:space="preserve"> (anche se quelli menzionati in Costituzione non sono i soli): le modalità di </w:t>
      </w:r>
      <w:r w:rsidR="00E54016">
        <w:t>g</w:t>
      </w:r>
      <w:r w:rsidR="00DD41BA">
        <w:t xml:space="preserve">odimento sono varie (si pensi alle prestazioni sanitarie o alle prestazioni scolastiche) e i costi vengono coperti essenzialmente dai </w:t>
      </w:r>
      <w:r w:rsidR="00DD41BA">
        <w:rPr>
          <w:u w:val="single"/>
        </w:rPr>
        <w:t>contribuenti</w:t>
      </w:r>
      <w:r w:rsidR="00DD41BA">
        <w:t xml:space="preserve"> (salvo quote variabili a carico degli utenti: i ticket </w:t>
      </w:r>
      <w:r w:rsidR="00DD41BA" w:rsidRPr="002B7256">
        <w:t>sanitari</w:t>
      </w:r>
      <w:r w:rsidR="002B7256">
        <w:t>, le tasse universitarie, i contributi previdenziali etc.).</w:t>
      </w:r>
    </w:p>
    <w:p w:rsidR="002B7256" w:rsidRDefault="002B7256" w:rsidP="00DD41BA">
      <w:pPr>
        <w:pStyle w:val="Stile2"/>
      </w:pPr>
    </w:p>
    <w:p w:rsidR="002B7256" w:rsidRDefault="002B7256" w:rsidP="00DD41BA">
      <w:pPr>
        <w:pStyle w:val="Stile2"/>
      </w:pPr>
      <w:r>
        <w:t>3.</w:t>
      </w:r>
      <w:r>
        <w:tab/>
        <w:t>Le modalità organizzative sono diverse: sia nell’ambito dei servizi economici (che sono tuttavia accomunati dal modo di produzione dell’impresa), sia, soprattutto, nell’ambito dei servizi sociali (erogate da apparati ciascuno diverso dall’altro: si pensi alle ASL o all’INPS o alle scuole).</w:t>
      </w:r>
    </w:p>
    <w:p w:rsidR="002B7256" w:rsidRDefault="002B7256" w:rsidP="00DD41BA">
      <w:pPr>
        <w:pStyle w:val="Stile2"/>
      </w:pPr>
    </w:p>
    <w:p w:rsidR="002B7256" w:rsidRDefault="002B7256" w:rsidP="00DD41BA">
      <w:pPr>
        <w:pStyle w:val="Stile2"/>
      </w:pPr>
      <w:r>
        <w:t>4.</w:t>
      </w:r>
      <w:r>
        <w:tab/>
        <w:t>Varia è l’area di operatività del servizio</w:t>
      </w:r>
      <w:r w:rsidR="000B2612">
        <w:t>.</w:t>
      </w:r>
      <w:r>
        <w:t xml:space="preserve"> </w:t>
      </w:r>
      <w:r w:rsidR="000B2612">
        <w:t xml:space="preserve">Accanto </w:t>
      </w:r>
      <w:r>
        <w:t xml:space="preserve">ai grandi sevizi pubblici </w:t>
      </w:r>
      <w:r>
        <w:rPr>
          <w:u w:val="single"/>
        </w:rPr>
        <w:t>nazionali</w:t>
      </w:r>
      <w:r>
        <w:t xml:space="preserve"> (energia elettrica, energica te</w:t>
      </w:r>
      <w:r w:rsidR="000B2612">
        <w:t>rmica</w:t>
      </w:r>
      <w:r>
        <w:t xml:space="preserve">, trasporti aerei, trasporti ferroviari, trasporti marittimi, comunicazioni elettroniche, poste etc.) abbiamo i servizi pubblici </w:t>
      </w:r>
      <w:r>
        <w:rPr>
          <w:u w:val="single"/>
        </w:rPr>
        <w:t>locali</w:t>
      </w:r>
      <w:r>
        <w:t xml:space="preserve"> : </w:t>
      </w:r>
      <w:r>
        <w:lastRenderedPageBreak/>
        <w:t xml:space="preserve">anch’essi organizzati nella forma dell’impresa (rifiuti urbani, acquedotto, gas. </w:t>
      </w:r>
      <w:r w:rsidR="000B2612">
        <w:t>t</w:t>
      </w:r>
      <w:r>
        <w:t>rasporti urbani etc.), ma con la limitazione della cerchia degli utenti ad un’area ristretta.</w:t>
      </w:r>
    </w:p>
    <w:p w:rsidR="002B7256" w:rsidRDefault="002B7256" w:rsidP="00DD41BA">
      <w:pPr>
        <w:pStyle w:val="Stile2"/>
      </w:pPr>
    </w:p>
    <w:p w:rsidR="002B7256" w:rsidRDefault="002B7256" w:rsidP="00DD41BA">
      <w:pPr>
        <w:pStyle w:val="Stile2"/>
      </w:pPr>
      <w:r>
        <w:t>5.</w:t>
      </w:r>
      <w:r>
        <w:tab/>
        <w:t xml:space="preserve">Il diritto europeo: disciplina </w:t>
      </w:r>
      <w:r>
        <w:rPr>
          <w:u w:val="single"/>
        </w:rPr>
        <w:t>solo</w:t>
      </w:r>
      <w:r>
        <w:t xml:space="preserve"> i </w:t>
      </w:r>
      <w:r>
        <w:rPr>
          <w:u w:val="single"/>
        </w:rPr>
        <w:t>servizi di interesse economico generale</w:t>
      </w:r>
      <w:r>
        <w:t xml:space="preserve"> (</w:t>
      </w:r>
      <w:proofErr w:type="spellStart"/>
      <w:r>
        <w:t>SIEG</w:t>
      </w:r>
      <w:proofErr w:type="spellEnd"/>
      <w:r>
        <w:t xml:space="preserve">: art. 106 </w:t>
      </w:r>
      <w:proofErr w:type="spellStart"/>
      <w:r>
        <w:t>TFUE</w:t>
      </w:r>
      <w:proofErr w:type="spellEnd"/>
      <w:r>
        <w:t>).</w:t>
      </w:r>
    </w:p>
    <w:p w:rsidR="002B7256" w:rsidRDefault="002B7256" w:rsidP="00DD41BA">
      <w:pPr>
        <w:pStyle w:val="Stile2"/>
      </w:pPr>
      <w:r>
        <w:tab/>
        <w:t xml:space="preserve">Le imprese incaricate  dei </w:t>
      </w:r>
      <w:proofErr w:type="spellStart"/>
      <w:r>
        <w:t>SIEG</w:t>
      </w:r>
      <w:proofErr w:type="spellEnd"/>
      <w:r>
        <w:t xml:space="preserve"> sono sottoposte alle regole di concorrenza nei limiti in cui ciò non osti</w:t>
      </w:r>
      <w:r w:rsidR="008745AC">
        <w:t xml:space="preserve"> </w:t>
      </w:r>
      <w:r>
        <w:t>all’adempimento della s</w:t>
      </w:r>
      <w:r w:rsidR="000B2612">
        <w:t>pecifica missione loro affidata.</w:t>
      </w:r>
    </w:p>
    <w:p w:rsidR="002B7256" w:rsidRDefault="002B7256" w:rsidP="002B7256">
      <w:pPr>
        <w:pStyle w:val="Stile2"/>
        <w:ind w:hanging="1"/>
      </w:pPr>
      <w:r>
        <w:t>Ciò presuppone</w:t>
      </w:r>
      <w:r w:rsidR="008745AC">
        <w:t>:</w:t>
      </w:r>
    </w:p>
    <w:p w:rsidR="008745AC" w:rsidRDefault="008745AC" w:rsidP="002B7256">
      <w:pPr>
        <w:pStyle w:val="Stile2"/>
        <w:ind w:hanging="1"/>
      </w:pPr>
      <w:r>
        <w:t xml:space="preserve">- </w:t>
      </w:r>
      <w:r>
        <w:tab/>
        <w:t>che i servizi siano offerti da imprese;</w:t>
      </w:r>
    </w:p>
    <w:p w:rsidR="008745AC" w:rsidRDefault="008745AC" w:rsidP="008745AC">
      <w:pPr>
        <w:pStyle w:val="Stile2"/>
        <w:ind w:left="1418"/>
      </w:pPr>
      <w:r>
        <w:t xml:space="preserve">- </w:t>
      </w:r>
      <w:r>
        <w:tab/>
        <w:t>che le imprese possano essere più di una per ciascun servizio: non avrebbe senso il richiamo alla concorrenza se l’impresa fosse una sola (il monopolista del passato);</w:t>
      </w:r>
    </w:p>
    <w:p w:rsidR="008745AC" w:rsidRDefault="008745AC" w:rsidP="008745AC">
      <w:pPr>
        <w:pStyle w:val="Stile2"/>
        <w:ind w:left="1418"/>
      </w:pPr>
      <w:r>
        <w:t>-</w:t>
      </w:r>
      <w:r>
        <w:tab/>
        <w:t xml:space="preserve">che nell’ipotesi in cui limitazioni fisiche (es. un’unica rete </w:t>
      </w:r>
      <w:proofErr w:type="spellStart"/>
      <w:r>
        <w:t>acquedottistica</w:t>
      </w:r>
      <w:proofErr w:type="spellEnd"/>
      <w:r>
        <w:t>) impediscano o sconsiglino la presenza di più gest</w:t>
      </w:r>
      <w:r w:rsidR="000B2612">
        <w:t>or</w:t>
      </w:r>
      <w:r>
        <w:t xml:space="preserve">i, il gestore deve essere scelto in modo </w:t>
      </w:r>
      <w:r w:rsidRPr="000B2612">
        <w:rPr>
          <w:u w:val="single"/>
        </w:rPr>
        <w:t>concorsuale</w:t>
      </w:r>
      <w:r>
        <w:t xml:space="preserve"> (concorrenza </w:t>
      </w:r>
      <w:r>
        <w:rPr>
          <w:u w:val="single"/>
        </w:rPr>
        <w:t>per</w:t>
      </w:r>
      <w:r>
        <w:t xml:space="preserve"> il mercato in luogo della concorrenza </w:t>
      </w:r>
      <w:r>
        <w:rPr>
          <w:u w:val="single"/>
        </w:rPr>
        <w:t>nel</w:t>
      </w:r>
      <w:r>
        <w:t xml:space="preserve"> mercato);</w:t>
      </w:r>
    </w:p>
    <w:p w:rsidR="008745AC" w:rsidRDefault="008745AC" w:rsidP="008745AC">
      <w:pPr>
        <w:pStyle w:val="Stile2"/>
        <w:ind w:left="1418"/>
      </w:pPr>
      <w:r>
        <w:t>-</w:t>
      </w:r>
      <w:r>
        <w:tab/>
        <w:t xml:space="preserve">che la  regola di concorrenza incontra un limite quando dalla sua applicazione deriverebbe l’esclusione di una quota di utenti dal godimento del servizio (es.  la posta che non sarebbe distribuita nei piccoli centri </w:t>
      </w:r>
      <w:r w:rsidR="000B2612">
        <w:t xml:space="preserve">montani </w:t>
      </w:r>
      <w:r>
        <w:t>perché i costi per l’impresa esposta alla concorrenza sarebbero esorbitanti).</w:t>
      </w:r>
    </w:p>
    <w:p w:rsidR="008745AC" w:rsidRDefault="008745AC" w:rsidP="008745AC">
      <w:pPr>
        <w:pStyle w:val="Stile2"/>
        <w:ind w:left="1418" w:hanging="2"/>
      </w:pPr>
      <w:r>
        <w:t>Poiché il servizio deve potere essere  for</w:t>
      </w:r>
      <w:r w:rsidR="000B2612">
        <w:t xml:space="preserve">nito </w:t>
      </w:r>
      <w:r>
        <w:t>a tutti, e a un prezzo abbordabile, vanno escogitati rimedi, in deroga alla concorrenza, per assicurare l’</w:t>
      </w:r>
      <w:r>
        <w:rPr>
          <w:u w:val="single"/>
        </w:rPr>
        <w:t>universalità</w:t>
      </w:r>
      <w:r>
        <w:t xml:space="preserve"> del servizio (il c.d. servizio universale): per es. addossando a tutti gli altri operatori gli extracosti cui sarebbe soggetta l’impresa tenuta a rendere questa quota del </w:t>
      </w:r>
      <w:proofErr w:type="spellStart"/>
      <w:r>
        <w:t>SIEG</w:t>
      </w:r>
      <w:proofErr w:type="spellEnd"/>
      <w:r>
        <w:t>.</w:t>
      </w:r>
    </w:p>
    <w:p w:rsidR="008745AC" w:rsidRDefault="008745AC" w:rsidP="008745AC">
      <w:pPr>
        <w:pStyle w:val="Stile2"/>
        <w:ind w:left="1418" w:hanging="2"/>
      </w:pPr>
    </w:p>
    <w:p w:rsidR="008745AC" w:rsidRDefault="008745AC" w:rsidP="008745AC">
      <w:pPr>
        <w:pStyle w:val="Stile2"/>
      </w:pPr>
      <w:r>
        <w:t>6.</w:t>
      </w:r>
      <w:r>
        <w:tab/>
        <w:t>Le ricadute nell’ordina</w:t>
      </w:r>
      <w:r w:rsidR="000B2612">
        <w:t>mento degli Stati membri delle U</w:t>
      </w:r>
      <w:r>
        <w:t>.E.: le direttive di liberalizzazione</w:t>
      </w:r>
      <w:r w:rsidR="00486067">
        <w:t xml:space="preserve"> (elettricità, gas, comunicazioni elettroniche, trasporti ferroviari, marittimi, aerei, </w:t>
      </w:r>
      <w:proofErr w:type="spellStart"/>
      <w:r w:rsidR="00486067">
        <w:t>etc</w:t>
      </w:r>
      <w:proofErr w:type="spellEnd"/>
      <w:r w:rsidR="00486067">
        <w:t>,) e la modifica radicale degli assetti organizzativi. Non più aziende di Stato monopolistic</w:t>
      </w:r>
      <w:r w:rsidR="000B2612">
        <w:t>he</w:t>
      </w:r>
      <w:r w:rsidR="00486067">
        <w:t xml:space="preserve"> ma pluralità di imprese incaricate della gestione per ciascun servizio.</w:t>
      </w:r>
    </w:p>
    <w:p w:rsidR="00486067" w:rsidRDefault="00486067" w:rsidP="00486067">
      <w:pPr>
        <w:pStyle w:val="Stile2"/>
        <w:ind w:hanging="1"/>
      </w:pPr>
      <w:r>
        <w:lastRenderedPageBreak/>
        <w:t xml:space="preserve">Gli effetti sull’organizzazione dei servizi pubblici locali (art. 113 </w:t>
      </w:r>
      <w:proofErr w:type="spellStart"/>
      <w:r>
        <w:t>d.lgs.vo</w:t>
      </w:r>
      <w:proofErr w:type="spellEnd"/>
      <w:r>
        <w:t xml:space="preserve"> n. 267/2000 e </w:t>
      </w:r>
      <w:proofErr w:type="spellStart"/>
      <w:r>
        <w:t>s.m.i.</w:t>
      </w:r>
      <w:proofErr w:type="spellEnd"/>
      <w:r>
        <w:t>).</w:t>
      </w:r>
    </w:p>
    <w:p w:rsidR="00486067" w:rsidRDefault="00486067" w:rsidP="008745AC">
      <w:pPr>
        <w:pStyle w:val="Stile2"/>
      </w:pPr>
    </w:p>
    <w:p w:rsidR="00486067" w:rsidRDefault="00486067" w:rsidP="008745AC">
      <w:pPr>
        <w:pStyle w:val="Stile2"/>
      </w:pPr>
      <w:r>
        <w:t>7.</w:t>
      </w:r>
      <w:r>
        <w:tab/>
        <w:t xml:space="preserve">Gli aspetti comuni ai </w:t>
      </w:r>
      <w:r>
        <w:rPr>
          <w:u w:val="single"/>
        </w:rPr>
        <w:t>servizi sociali</w:t>
      </w:r>
      <w:r>
        <w:t xml:space="preserve"> (che non sono stati toccati dal diritto europeo).</w:t>
      </w:r>
    </w:p>
    <w:p w:rsidR="00486067" w:rsidRDefault="00486067" w:rsidP="008745AC">
      <w:pPr>
        <w:pStyle w:val="Stile2"/>
      </w:pPr>
      <w:r>
        <w:tab/>
        <w:t xml:space="preserve">Un assetto bipolare: </w:t>
      </w:r>
      <w:r>
        <w:rPr>
          <w:u w:val="single"/>
        </w:rPr>
        <w:t>pubblico</w:t>
      </w:r>
      <w:r>
        <w:t xml:space="preserve"> e </w:t>
      </w:r>
      <w:r>
        <w:rPr>
          <w:u w:val="single"/>
        </w:rPr>
        <w:t>privato</w:t>
      </w:r>
      <w:r>
        <w:t>.</w:t>
      </w:r>
    </w:p>
    <w:p w:rsidR="00486067" w:rsidRPr="00486067" w:rsidRDefault="00486067" w:rsidP="008745AC">
      <w:pPr>
        <w:pStyle w:val="Stile2"/>
      </w:pPr>
      <w:r>
        <w:tab/>
        <w:t xml:space="preserve">La libertà dei privati di istituire scuole (art. 33 Cost.) e di prestare assistenza </w:t>
      </w:r>
      <w:r w:rsidR="000B2612">
        <w:t>(</w:t>
      </w:r>
      <w:r>
        <w:t xml:space="preserve">art. 38 </w:t>
      </w:r>
      <w:proofErr w:type="spellStart"/>
      <w:r>
        <w:t>u.co.</w:t>
      </w:r>
      <w:proofErr w:type="spellEnd"/>
      <w:r>
        <w:t>); il ruolo della medicina privata etc.</w:t>
      </w:r>
    </w:p>
    <w:p w:rsidR="008745AC" w:rsidRPr="008745AC" w:rsidRDefault="008745AC">
      <w:pPr>
        <w:pStyle w:val="Stile2"/>
        <w:ind w:hanging="1"/>
      </w:pPr>
    </w:p>
    <w:sectPr w:rsidR="008745AC" w:rsidRPr="008745AC" w:rsidSect="00DD41BA">
      <w:pgSz w:w="11906" w:h="16838"/>
      <w:pgMar w:top="1701" w:right="1701"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hyphenationZone w:val="283"/>
  <w:drawingGridHorizontalSpacing w:val="110"/>
  <w:displayHorizontalDrawingGridEvery w:val="2"/>
  <w:displayVerticalDrawingGridEvery w:val="2"/>
  <w:characterSpacingControl w:val="doNotCompress"/>
  <w:compat/>
  <w:rsids>
    <w:rsidRoot w:val="00DD41BA"/>
    <w:rsid w:val="0003678C"/>
    <w:rsid w:val="00060B35"/>
    <w:rsid w:val="000B2612"/>
    <w:rsid w:val="00161EAB"/>
    <w:rsid w:val="00171406"/>
    <w:rsid w:val="001B1008"/>
    <w:rsid w:val="002004E5"/>
    <w:rsid w:val="0022101D"/>
    <w:rsid w:val="0025413B"/>
    <w:rsid w:val="0027129A"/>
    <w:rsid w:val="00276D71"/>
    <w:rsid w:val="002B7256"/>
    <w:rsid w:val="00371EC0"/>
    <w:rsid w:val="003D6F13"/>
    <w:rsid w:val="003E222F"/>
    <w:rsid w:val="00486067"/>
    <w:rsid w:val="004B5C76"/>
    <w:rsid w:val="004D39C5"/>
    <w:rsid w:val="004F79E5"/>
    <w:rsid w:val="00556B90"/>
    <w:rsid w:val="005B4E2B"/>
    <w:rsid w:val="005C1272"/>
    <w:rsid w:val="005D4FF8"/>
    <w:rsid w:val="0062480C"/>
    <w:rsid w:val="00674922"/>
    <w:rsid w:val="0074795E"/>
    <w:rsid w:val="00821018"/>
    <w:rsid w:val="00844A37"/>
    <w:rsid w:val="008745AC"/>
    <w:rsid w:val="00996171"/>
    <w:rsid w:val="009C509B"/>
    <w:rsid w:val="009D4466"/>
    <w:rsid w:val="009E0F88"/>
    <w:rsid w:val="009F29B5"/>
    <w:rsid w:val="00A53261"/>
    <w:rsid w:val="00AA726D"/>
    <w:rsid w:val="00AB2E3F"/>
    <w:rsid w:val="00B1708E"/>
    <w:rsid w:val="00B91B80"/>
    <w:rsid w:val="00BC10EC"/>
    <w:rsid w:val="00BE06DC"/>
    <w:rsid w:val="00BE124F"/>
    <w:rsid w:val="00BF61C5"/>
    <w:rsid w:val="00C332E4"/>
    <w:rsid w:val="00C7448C"/>
    <w:rsid w:val="00C86E98"/>
    <w:rsid w:val="00D14AE3"/>
    <w:rsid w:val="00D44AEC"/>
    <w:rsid w:val="00D60B44"/>
    <w:rsid w:val="00D77D72"/>
    <w:rsid w:val="00D87158"/>
    <w:rsid w:val="00D93D22"/>
    <w:rsid w:val="00DD41BA"/>
    <w:rsid w:val="00E54016"/>
    <w:rsid w:val="00E73BF8"/>
    <w:rsid w:val="00E80230"/>
    <w:rsid w:val="00EC1111"/>
    <w:rsid w:val="00EC46AB"/>
    <w:rsid w:val="00F134A0"/>
    <w:rsid w:val="00F4578A"/>
    <w:rsid w:val="00F654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1EC0"/>
    <w:pPr>
      <w:spacing w:line="360" w:lineRule="auto"/>
      <w:jc w:val="both"/>
    </w:pPr>
    <w:rPr>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4">
    <w:name w:val="Stile4"/>
    <w:basedOn w:val="Normale"/>
    <w:next w:val="Normale"/>
    <w:link w:val="Stile4Carattere"/>
    <w:qFormat/>
    <w:rsid w:val="0062480C"/>
    <w:pPr>
      <w:jc w:val="center"/>
    </w:pPr>
    <w:rPr>
      <w:rFonts w:eastAsia="Times New Roman"/>
      <w:b/>
      <w:lang w:eastAsia="it-IT"/>
    </w:rPr>
  </w:style>
  <w:style w:type="character" w:customStyle="1" w:styleId="Stile4Carattere">
    <w:name w:val="Stile4 Carattere"/>
    <w:basedOn w:val="Carpredefinitoparagrafo"/>
    <w:link w:val="Stile4"/>
    <w:rsid w:val="0062480C"/>
    <w:rPr>
      <w:rFonts w:ascii="Times New Roman" w:eastAsia="Times New Roman" w:hAnsi="Times New Roman" w:cs="Times New Roman"/>
      <w:b/>
      <w:sz w:val="24"/>
      <w:lang w:eastAsia="it-IT"/>
    </w:rPr>
  </w:style>
  <w:style w:type="paragraph" w:customStyle="1" w:styleId="Stile5">
    <w:name w:val="Stile5"/>
    <w:basedOn w:val="Normale"/>
    <w:link w:val="Stile5Carattere"/>
    <w:qFormat/>
    <w:rsid w:val="00371EC0"/>
    <w:pPr>
      <w:spacing w:before="100" w:line="480" w:lineRule="exact"/>
      <w:ind w:left="709" w:hanging="709"/>
    </w:pPr>
    <w:rPr>
      <w:rFonts w:ascii="CG Times" w:eastAsia="Times New Roman" w:hAnsi="CG Times"/>
      <w:szCs w:val="24"/>
      <w:lang w:eastAsia="it-IT"/>
    </w:rPr>
  </w:style>
  <w:style w:type="character" w:customStyle="1" w:styleId="Stile5Carattere">
    <w:name w:val="Stile5 Carattere"/>
    <w:basedOn w:val="Carpredefinitoparagrafo"/>
    <w:link w:val="Stile5"/>
    <w:rsid w:val="00371EC0"/>
    <w:rPr>
      <w:rFonts w:ascii="CG Times" w:eastAsia="Times New Roman" w:hAnsi="CG Times" w:cs="Times New Roman"/>
      <w:sz w:val="24"/>
      <w:szCs w:val="24"/>
      <w:lang w:eastAsia="it-IT"/>
    </w:rPr>
  </w:style>
  <w:style w:type="paragraph" w:customStyle="1" w:styleId="Stile6">
    <w:name w:val="Stile6"/>
    <w:basedOn w:val="Normale"/>
    <w:link w:val="Stile6Carattere"/>
    <w:qFormat/>
    <w:rsid w:val="0003678C"/>
    <w:pPr>
      <w:widowControl w:val="0"/>
      <w:ind w:left="284" w:hanging="284"/>
    </w:pPr>
    <w:rPr>
      <w:rFonts w:eastAsia="Times New Roman"/>
      <w:lang w:eastAsia="it-IT"/>
    </w:rPr>
  </w:style>
  <w:style w:type="character" w:customStyle="1" w:styleId="Stile6Carattere">
    <w:name w:val="Stile6 Carattere"/>
    <w:basedOn w:val="Carpredefinitoparagrafo"/>
    <w:link w:val="Stile6"/>
    <w:rsid w:val="0003678C"/>
    <w:rPr>
      <w:rFonts w:eastAsia="Times New Roman"/>
      <w:sz w:val="24"/>
      <w:lang w:eastAsia="it-IT"/>
    </w:rPr>
  </w:style>
  <w:style w:type="paragraph" w:customStyle="1" w:styleId="Stile3">
    <w:name w:val="Stile3"/>
    <w:basedOn w:val="Normale"/>
    <w:qFormat/>
    <w:rsid w:val="00C332E4"/>
    <w:pPr>
      <w:ind w:firstLine="709"/>
    </w:pPr>
    <w:rPr>
      <w:rFonts w:eastAsia="Times New Roman"/>
      <w:szCs w:val="24"/>
      <w:lang w:eastAsia="it-IT"/>
    </w:rPr>
  </w:style>
  <w:style w:type="paragraph" w:customStyle="1" w:styleId="sporgente">
    <w:name w:val="sporgente"/>
    <w:basedOn w:val="Normale"/>
    <w:link w:val="sporgenteCarattere"/>
    <w:qFormat/>
    <w:rsid w:val="003D6F13"/>
    <w:pPr>
      <w:ind w:left="709" w:hanging="709"/>
    </w:pPr>
    <w:rPr>
      <w:rFonts w:ascii="CG Times" w:eastAsia="Times New Roman" w:hAnsi="CG Times"/>
      <w:szCs w:val="24"/>
      <w:lang w:eastAsia="it-IT"/>
    </w:rPr>
  </w:style>
  <w:style w:type="character" w:customStyle="1" w:styleId="sporgenteCarattere">
    <w:name w:val="sporgente Carattere"/>
    <w:basedOn w:val="Carpredefinitoparagrafo"/>
    <w:link w:val="sporgente"/>
    <w:rsid w:val="003D6F13"/>
    <w:rPr>
      <w:rFonts w:ascii="CG Times" w:eastAsia="Times New Roman" w:hAnsi="CG Times"/>
      <w:sz w:val="24"/>
      <w:szCs w:val="24"/>
      <w:lang w:eastAsia="it-IT"/>
    </w:rPr>
  </w:style>
  <w:style w:type="paragraph" w:customStyle="1" w:styleId="centrato">
    <w:name w:val="centrato"/>
    <w:basedOn w:val="Normale"/>
    <w:link w:val="centratoCarattere"/>
    <w:qFormat/>
    <w:rsid w:val="00D14AE3"/>
    <w:pPr>
      <w:jc w:val="center"/>
    </w:pPr>
    <w:rPr>
      <w:rFonts w:eastAsia="Times New Roman"/>
      <w:b/>
      <w:lang w:eastAsia="it-IT"/>
    </w:rPr>
  </w:style>
  <w:style w:type="character" w:customStyle="1" w:styleId="centratoCarattere">
    <w:name w:val="centrato Carattere"/>
    <w:basedOn w:val="Carpredefinitoparagrafo"/>
    <w:link w:val="centrato"/>
    <w:rsid w:val="00D14AE3"/>
    <w:rPr>
      <w:rFonts w:eastAsia="Times New Roman"/>
      <w:b/>
      <w:sz w:val="24"/>
      <w:lang w:eastAsia="it-IT"/>
    </w:rPr>
  </w:style>
  <w:style w:type="paragraph" w:customStyle="1" w:styleId="primariga">
    <w:name w:val="prima riga"/>
    <w:basedOn w:val="Normale"/>
    <w:qFormat/>
    <w:rsid w:val="00171406"/>
    <w:pPr>
      <w:ind w:firstLine="709"/>
    </w:pPr>
    <w:rPr>
      <w:rFonts w:eastAsia="Times New Roman"/>
      <w:szCs w:val="24"/>
      <w:lang w:eastAsia="it-IT"/>
    </w:rPr>
  </w:style>
  <w:style w:type="paragraph" w:customStyle="1" w:styleId="Stile2">
    <w:name w:val="Stile2"/>
    <w:basedOn w:val="Normale"/>
    <w:autoRedefine/>
    <w:qFormat/>
    <w:rsid w:val="00F6542B"/>
    <w:pPr>
      <w:ind w:left="709" w:hanging="709"/>
    </w:pPr>
    <w:rPr>
      <w:rFonts w:cstheme="minorBidi"/>
      <w:szCs w:val="22"/>
    </w:rPr>
  </w:style>
  <w:style w:type="paragraph" w:customStyle="1" w:styleId="Stile1">
    <w:name w:val="Stile1"/>
    <w:basedOn w:val="Normale"/>
    <w:link w:val="Stile1Carattere"/>
    <w:qFormat/>
    <w:rsid w:val="00F6542B"/>
    <w:pPr>
      <w:ind w:firstLine="709"/>
    </w:pPr>
    <w:rPr>
      <w:rFonts w:cstheme="minorBidi"/>
      <w:szCs w:val="22"/>
    </w:rPr>
  </w:style>
  <w:style w:type="character" w:customStyle="1" w:styleId="Stile1Carattere">
    <w:name w:val="Stile1 Carattere"/>
    <w:basedOn w:val="Carpredefinitoparagrafo"/>
    <w:link w:val="Stile1"/>
    <w:rsid w:val="00F6542B"/>
    <w:rPr>
      <w:rFonts w:cstheme="minorBidi"/>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622</Words>
  <Characters>3550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enza</dc:creator>
  <cp:lastModifiedBy>enza</cp:lastModifiedBy>
  <cp:revision>2</cp:revision>
  <dcterms:created xsi:type="dcterms:W3CDTF">2020-05-25T10:29:00Z</dcterms:created>
  <dcterms:modified xsi:type="dcterms:W3CDTF">2020-05-25T10:29:00Z</dcterms:modified>
</cp:coreProperties>
</file>