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F" w:rsidRDefault="000E353F" w:rsidP="00D56C45">
      <w:pPr>
        <w:pStyle w:val="centrato"/>
        <w:spacing w:line="240" w:lineRule="auto"/>
      </w:pPr>
      <w:r>
        <w:t xml:space="preserve">Scuola di specializzazione per le professioni forensi: diritto amministrativo </w:t>
      </w:r>
    </w:p>
    <w:p w:rsidR="00F4578A" w:rsidRDefault="000E353F" w:rsidP="00D56C45">
      <w:pPr>
        <w:pStyle w:val="centrato"/>
        <w:spacing w:line="240" w:lineRule="auto"/>
      </w:pPr>
      <w:r>
        <w:t xml:space="preserve">10 marzo 2020, h. </w:t>
      </w:r>
      <w:proofErr w:type="spellStart"/>
      <w:r>
        <w:t>14-16</w:t>
      </w:r>
      <w:proofErr w:type="spellEnd"/>
      <w:r>
        <w:t xml:space="preserve"> prof. Guido Corso</w:t>
      </w:r>
    </w:p>
    <w:p w:rsidR="000E353F" w:rsidRDefault="000E353F" w:rsidP="00D56C45">
      <w:pPr>
        <w:pStyle w:val="centrato"/>
        <w:spacing w:line="240" w:lineRule="auto"/>
      </w:pPr>
    </w:p>
    <w:p w:rsidR="000E353F" w:rsidRDefault="000E353F" w:rsidP="00D56C45">
      <w:pPr>
        <w:spacing w:line="240" w:lineRule="auto"/>
      </w:pPr>
      <w:r>
        <w:rPr>
          <w:u w:val="single"/>
        </w:rPr>
        <w:t>Provvedimento amministrativo e atto impugnabile</w:t>
      </w:r>
    </w:p>
    <w:p w:rsidR="000E353F" w:rsidRDefault="000E353F" w:rsidP="00D56C45">
      <w:pPr>
        <w:pStyle w:val="primariga"/>
        <w:spacing w:line="240" w:lineRule="auto"/>
      </w:pPr>
      <w:r>
        <w:t>1. – La norma di provvedimento amministrativo è stata elaborata dalla giurisprudenza quando il giudice è chiamato a stabilire se un atto è impugnabile o non lo è. In questo modo viene evidenziata la stretta relazione che esiste tra attività amministrativa e tutela giurisdizionale: provvedimento amministrativo è l’atto lesivo.</w:t>
      </w:r>
    </w:p>
    <w:p w:rsidR="000E353F" w:rsidRDefault="000E353F" w:rsidP="00D56C45">
      <w:pPr>
        <w:pStyle w:val="primariga"/>
        <w:spacing w:line="240" w:lineRule="auto"/>
      </w:pPr>
      <w:r>
        <w:t>Questa relazione è evidenziata dalla Costituzione che menziona “</w:t>
      </w:r>
      <w:r>
        <w:rPr>
          <w:i/>
        </w:rPr>
        <w:t>gli atti della pubblica amministrazione</w:t>
      </w:r>
      <w:r>
        <w:t>” all’art. 113 per stabilire che contro di essi “</w:t>
      </w:r>
      <w:r>
        <w:rPr>
          <w:i/>
        </w:rPr>
        <w:t>è sempre ammessa la tutela giurisdizionale dei diritti e degli interessi legittimi</w:t>
      </w:r>
      <w:r>
        <w:t>”.</w:t>
      </w:r>
    </w:p>
    <w:p w:rsidR="000E353F" w:rsidRDefault="000E353F" w:rsidP="00D56C45">
      <w:pPr>
        <w:pStyle w:val="primariga"/>
        <w:spacing w:line="240" w:lineRule="auto"/>
      </w:pPr>
    </w:p>
    <w:p w:rsidR="000E353F" w:rsidRDefault="000E353F" w:rsidP="00D56C45">
      <w:pPr>
        <w:pStyle w:val="primariga"/>
        <w:spacing w:line="240" w:lineRule="auto"/>
      </w:pPr>
      <w:r>
        <w:t xml:space="preserve">2. – </w:t>
      </w:r>
      <w:r w:rsidR="005110D8">
        <w:t>l</w:t>
      </w:r>
      <w:r>
        <w:t>a legge sul procedimento amministrativo disciplina il procedimento</w:t>
      </w:r>
      <w:r w:rsidR="005110D8">
        <w:t>.</w:t>
      </w:r>
      <w:r>
        <w:t xml:space="preserve"> </w:t>
      </w:r>
      <w:r w:rsidR="005110D8">
        <w:t xml:space="preserve">Essa </w:t>
      </w:r>
      <w:r>
        <w:t xml:space="preserve">prevede atti </w:t>
      </w:r>
      <w:proofErr w:type="spellStart"/>
      <w:r>
        <w:t>endoprocedimentali</w:t>
      </w:r>
      <w:proofErr w:type="spellEnd"/>
      <w:r>
        <w:t>, che precedono il provvedimento conclusivo (la comunicazione di avvio del procedimento, art. 7; i pareri e le valutazioni tecniche, 16</w:t>
      </w:r>
      <w:r w:rsidR="005110D8">
        <w:t xml:space="preserve"> </w:t>
      </w:r>
      <w:r>
        <w:t>e 17; il preannuncio del rigetto della istanza, art. 10 bis etc.) e la “</w:t>
      </w:r>
      <w:r>
        <w:rPr>
          <w:i/>
        </w:rPr>
        <w:t>decisione amministrativa</w:t>
      </w:r>
      <w:r w:rsidR="005110D8">
        <w:t xml:space="preserve">” (art. 3). I primi </w:t>
      </w:r>
      <w:r>
        <w:t>non sono impugnabili, la decisione è impugnabile.</w:t>
      </w:r>
    </w:p>
    <w:p w:rsidR="000E353F" w:rsidRDefault="000E353F" w:rsidP="00D56C45">
      <w:pPr>
        <w:pStyle w:val="primariga"/>
        <w:spacing w:line="240" w:lineRule="auto"/>
      </w:pPr>
      <w:r>
        <w:t>Come si evince dalla giurisprudenza, la distinzione non</w:t>
      </w:r>
      <w:r w:rsidR="005110D8">
        <w:t xml:space="preserve"> </w:t>
      </w:r>
      <w:r>
        <w:t>è sempre pacifica.</w:t>
      </w:r>
    </w:p>
    <w:p w:rsidR="000E353F" w:rsidRDefault="000E353F" w:rsidP="00D56C45">
      <w:pPr>
        <w:pStyle w:val="primariga"/>
        <w:spacing w:line="240" w:lineRule="auto"/>
      </w:pPr>
    </w:p>
    <w:p w:rsidR="000E353F" w:rsidRDefault="000E353F" w:rsidP="00D56C45">
      <w:pPr>
        <w:pStyle w:val="primariga"/>
        <w:spacing w:line="240" w:lineRule="auto"/>
      </w:pPr>
      <w:r>
        <w:t xml:space="preserve">3. – La sentenza della </w:t>
      </w:r>
      <w:proofErr w:type="spellStart"/>
      <w:r>
        <w:t>IV</w:t>
      </w:r>
      <w:proofErr w:type="spellEnd"/>
      <w:r>
        <w:t xml:space="preserve"> Sez. del C.d.S. n. 661/2020 distingue </w:t>
      </w:r>
      <w:r>
        <w:rPr>
          <w:u w:val="single"/>
        </w:rPr>
        <w:t>i regolamenti</w:t>
      </w:r>
      <w:r>
        <w:t xml:space="preserve"> a seconda che siano immediatamente lesivi o non lo siano (poiché la lesione sarà eventualmente cagionato dall’atto applicativo).</w:t>
      </w:r>
    </w:p>
    <w:p w:rsidR="000E353F" w:rsidRDefault="000E353F" w:rsidP="00D56C45">
      <w:pPr>
        <w:pStyle w:val="primariga"/>
        <w:spacing w:line="240" w:lineRule="auto"/>
      </w:pPr>
      <w:r>
        <w:t>Quando il ricorrente impugna più atti (ricorso cumulativo) è possibile che solo alcuni siano impugnabili: è l’ipotesi presa in considerazione dal TAR Lazio con la sentenza n. 11701/2019.</w:t>
      </w:r>
    </w:p>
    <w:p w:rsidR="000E353F" w:rsidRDefault="000E353F" w:rsidP="00D56C45">
      <w:pPr>
        <w:pStyle w:val="primariga"/>
        <w:spacing w:line="240" w:lineRule="auto"/>
      </w:pPr>
      <w:r>
        <w:t xml:space="preserve">La VIA (Valutazione di impatto ambientale) non chiude il procedimento amministrativo: tuttavia essa ha una autonoma capacità lesiva che giustifica l’impugnazione (Cons. St. </w:t>
      </w:r>
      <w:proofErr w:type="spellStart"/>
      <w:r>
        <w:t>IV</w:t>
      </w:r>
      <w:proofErr w:type="spellEnd"/>
      <w:r>
        <w:t>, n. 5884/2019).</w:t>
      </w:r>
    </w:p>
    <w:p w:rsidR="000E353F" w:rsidRDefault="000E353F" w:rsidP="00D56C45">
      <w:pPr>
        <w:pStyle w:val="primariga"/>
        <w:spacing w:line="240" w:lineRule="auto"/>
      </w:pPr>
      <w:r>
        <w:t>Il TAR Lombardia (sent. n. 984/2019) distingue nell’ambito delle “</w:t>
      </w:r>
      <w:r>
        <w:rPr>
          <w:i/>
        </w:rPr>
        <w:t>diffide</w:t>
      </w:r>
      <w:r>
        <w:t>” quelle che confermano l’esistenza di un obbligo preesistente da quelle che,</w:t>
      </w:r>
      <w:r w:rsidR="00D56C45">
        <w:t xml:space="preserve"> </w:t>
      </w:r>
      <w:r>
        <w:t>pur denominate diffide, sono in realtà ordini produttivi di effetti sfavorevoli (in questo caso sono impugnabili).</w:t>
      </w:r>
    </w:p>
    <w:p w:rsidR="000E353F" w:rsidRPr="000E353F" w:rsidRDefault="000E353F" w:rsidP="00D56C45">
      <w:pPr>
        <w:pStyle w:val="primariga"/>
        <w:spacing w:line="240" w:lineRule="auto"/>
      </w:pPr>
      <w:r>
        <w:t>Analoghi problemi di demarcazione si pongono per l’atto conclusivo dei lavori di una conferenza di servizi (TAR Piemonte, n. 1314/2018).</w:t>
      </w:r>
    </w:p>
    <w:sectPr w:rsidR="000E353F" w:rsidRPr="000E353F" w:rsidSect="00F134A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E353F"/>
    <w:rsid w:val="0003678C"/>
    <w:rsid w:val="00060B35"/>
    <w:rsid w:val="000E353F"/>
    <w:rsid w:val="00161EAB"/>
    <w:rsid w:val="00171406"/>
    <w:rsid w:val="002004E5"/>
    <w:rsid w:val="0022101D"/>
    <w:rsid w:val="0025413B"/>
    <w:rsid w:val="0027129A"/>
    <w:rsid w:val="00276D71"/>
    <w:rsid w:val="0029083D"/>
    <w:rsid w:val="00371EC0"/>
    <w:rsid w:val="003D6F13"/>
    <w:rsid w:val="003E222F"/>
    <w:rsid w:val="004B5C76"/>
    <w:rsid w:val="004D39C5"/>
    <w:rsid w:val="005110D8"/>
    <w:rsid w:val="00556B90"/>
    <w:rsid w:val="005B4E2B"/>
    <w:rsid w:val="005C1272"/>
    <w:rsid w:val="005D4FF8"/>
    <w:rsid w:val="0062480C"/>
    <w:rsid w:val="00674922"/>
    <w:rsid w:val="0074795E"/>
    <w:rsid w:val="00821018"/>
    <w:rsid w:val="00844A37"/>
    <w:rsid w:val="00996171"/>
    <w:rsid w:val="009C509B"/>
    <w:rsid w:val="009D4466"/>
    <w:rsid w:val="009E0F88"/>
    <w:rsid w:val="00A53261"/>
    <w:rsid w:val="00AA726D"/>
    <w:rsid w:val="00AB2E3F"/>
    <w:rsid w:val="00B91B80"/>
    <w:rsid w:val="00BC10EC"/>
    <w:rsid w:val="00BE06DC"/>
    <w:rsid w:val="00BE124F"/>
    <w:rsid w:val="00BF61C5"/>
    <w:rsid w:val="00C332E4"/>
    <w:rsid w:val="00C7448C"/>
    <w:rsid w:val="00C86E98"/>
    <w:rsid w:val="00D14AE3"/>
    <w:rsid w:val="00D44AEC"/>
    <w:rsid w:val="00D56C45"/>
    <w:rsid w:val="00D60B44"/>
    <w:rsid w:val="00D77D72"/>
    <w:rsid w:val="00D87158"/>
    <w:rsid w:val="00D93D22"/>
    <w:rsid w:val="00E73BF8"/>
    <w:rsid w:val="00E80230"/>
    <w:rsid w:val="00F134A0"/>
    <w:rsid w:val="00F4578A"/>
    <w:rsid w:val="00F6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EC0"/>
    <w:pPr>
      <w:spacing w:line="360" w:lineRule="auto"/>
      <w:jc w:val="both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Normale"/>
    <w:next w:val="Normale"/>
    <w:link w:val="Stile4Carattere"/>
    <w:qFormat/>
    <w:rsid w:val="0062480C"/>
    <w:pPr>
      <w:jc w:val="center"/>
    </w:pPr>
    <w:rPr>
      <w:rFonts w:eastAsia="Times New Roman"/>
      <w:b/>
      <w:lang w:eastAsia="it-IT"/>
    </w:rPr>
  </w:style>
  <w:style w:type="character" w:customStyle="1" w:styleId="Stile4Carattere">
    <w:name w:val="Stile4 Carattere"/>
    <w:basedOn w:val="Carpredefinitoparagrafo"/>
    <w:link w:val="Stile4"/>
    <w:rsid w:val="0062480C"/>
    <w:rPr>
      <w:rFonts w:ascii="Times New Roman" w:eastAsia="Times New Roman" w:hAnsi="Times New Roman" w:cs="Times New Roman"/>
      <w:b/>
      <w:sz w:val="24"/>
      <w:lang w:eastAsia="it-IT"/>
    </w:rPr>
  </w:style>
  <w:style w:type="paragraph" w:customStyle="1" w:styleId="Stile5">
    <w:name w:val="Stile5"/>
    <w:basedOn w:val="Normale"/>
    <w:link w:val="Stile5Carattere"/>
    <w:qFormat/>
    <w:rsid w:val="00371EC0"/>
    <w:pPr>
      <w:spacing w:before="100" w:line="480" w:lineRule="exact"/>
      <w:ind w:left="709" w:hanging="709"/>
    </w:pPr>
    <w:rPr>
      <w:rFonts w:ascii="CG Times" w:eastAsia="Times New Roman" w:hAnsi="CG Times"/>
      <w:szCs w:val="24"/>
      <w:lang w:eastAsia="it-IT"/>
    </w:rPr>
  </w:style>
  <w:style w:type="character" w:customStyle="1" w:styleId="Stile5Carattere">
    <w:name w:val="Stile5 Carattere"/>
    <w:basedOn w:val="Carpredefinitoparagrafo"/>
    <w:link w:val="Stile5"/>
    <w:rsid w:val="00371EC0"/>
    <w:rPr>
      <w:rFonts w:ascii="CG Times" w:eastAsia="Times New Roman" w:hAnsi="CG Times" w:cs="Times New Roman"/>
      <w:sz w:val="24"/>
      <w:szCs w:val="24"/>
      <w:lang w:eastAsia="it-IT"/>
    </w:rPr>
  </w:style>
  <w:style w:type="paragraph" w:customStyle="1" w:styleId="Stile6">
    <w:name w:val="Stile6"/>
    <w:basedOn w:val="Normale"/>
    <w:link w:val="Stile6Carattere"/>
    <w:qFormat/>
    <w:rsid w:val="0003678C"/>
    <w:pPr>
      <w:widowControl w:val="0"/>
      <w:ind w:left="284" w:hanging="284"/>
    </w:pPr>
    <w:rPr>
      <w:rFonts w:eastAsia="Times New Roman"/>
      <w:lang w:eastAsia="it-IT"/>
    </w:rPr>
  </w:style>
  <w:style w:type="character" w:customStyle="1" w:styleId="Stile6Carattere">
    <w:name w:val="Stile6 Carattere"/>
    <w:basedOn w:val="Carpredefinitoparagrafo"/>
    <w:link w:val="Stile6"/>
    <w:rsid w:val="0003678C"/>
    <w:rPr>
      <w:rFonts w:eastAsia="Times New Roman"/>
      <w:sz w:val="24"/>
      <w:lang w:eastAsia="it-IT"/>
    </w:rPr>
  </w:style>
  <w:style w:type="paragraph" w:customStyle="1" w:styleId="Stile3">
    <w:name w:val="Stile3"/>
    <w:basedOn w:val="Normale"/>
    <w:qFormat/>
    <w:rsid w:val="00C332E4"/>
    <w:pPr>
      <w:ind w:firstLine="709"/>
    </w:pPr>
    <w:rPr>
      <w:rFonts w:eastAsia="Times New Roman"/>
      <w:szCs w:val="24"/>
      <w:lang w:eastAsia="it-IT"/>
    </w:rPr>
  </w:style>
  <w:style w:type="paragraph" w:customStyle="1" w:styleId="sporgente">
    <w:name w:val="sporgente"/>
    <w:basedOn w:val="Normale"/>
    <w:link w:val="sporgenteCarattere"/>
    <w:qFormat/>
    <w:rsid w:val="003D6F13"/>
    <w:pPr>
      <w:ind w:left="709" w:hanging="709"/>
    </w:pPr>
    <w:rPr>
      <w:rFonts w:ascii="CG Times" w:eastAsia="Times New Roman" w:hAnsi="CG Times"/>
      <w:szCs w:val="24"/>
      <w:lang w:eastAsia="it-IT"/>
    </w:rPr>
  </w:style>
  <w:style w:type="character" w:customStyle="1" w:styleId="sporgenteCarattere">
    <w:name w:val="sporgente Carattere"/>
    <w:basedOn w:val="Carpredefinitoparagrafo"/>
    <w:link w:val="sporgente"/>
    <w:rsid w:val="003D6F13"/>
    <w:rPr>
      <w:rFonts w:ascii="CG Times" w:eastAsia="Times New Roman" w:hAnsi="CG Times"/>
      <w:sz w:val="24"/>
      <w:szCs w:val="24"/>
      <w:lang w:eastAsia="it-IT"/>
    </w:rPr>
  </w:style>
  <w:style w:type="paragraph" w:customStyle="1" w:styleId="centrato">
    <w:name w:val="centrato"/>
    <w:basedOn w:val="Normale"/>
    <w:link w:val="centratoCarattere"/>
    <w:qFormat/>
    <w:rsid w:val="00D14AE3"/>
    <w:pPr>
      <w:jc w:val="center"/>
    </w:pPr>
    <w:rPr>
      <w:rFonts w:eastAsia="Times New Roman"/>
      <w:b/>
      <w:lang w:eastAsia="it-IT"/>
    </w:rPr>
  </w:style>
  <w:style w:type="character" w:customStyle="1" w:styleId="centratoCarattere">
    <w:name w:val="centrato Carattere"/>
    <w:basedOn w:val="Carpredefinitoparagrafo"/>
    <w:link w:val="centrato"/>
    <w:rsid w:val="00D14AE3"/>
    <w:rPr>
      <w:rFonts w:eastAsia="Times New Roman"/>
      <w:b/>
      <w:sz w:val="24"/>
      <w:lang w:eastAsia="it-IT"/>
    </w:rPr>
  </w:style>
  <w:style w:type="paragraph" w:customStyle="1" w:styleId="primariga">
    <w:name w:val="prima riga"/>
    <w:basedOn w:val="Normale"/>
    <w:qFormat/>
    <w:rsid w:val="00171406"/>
    <w:pPr>
      <w:ind w:firstLine="709"/>
    </w:pPr>
    <w:rPr>
      <w:rFonts w:eastAsia="Times New Roman"/>
      <w:szCs w:val="24"/>
      <w:lang w:eastAsia="it-IT"/>
    </w:rPr>
  </w:style>
  <w:style w:type="paragraph" w:customStyle="1" w:styleId="Stile2">
    <w:name w:val="Stile2"/>
    <w:basedOn w:val="Normale"/>
    <w:autoRedefine/>
    <w:qFormat/>
    <w:rsid w:val="00F6542B"/>
    <w:pPr>
      <w:ind w:left="709" w:hanging="709"/>
    </w:pPr>
    <w:rPr>
      <w:rFonts w:cstheme="minorBidi"/>
      <w:szCs w:val="22"/>
    </w:rPr>
  </w:style>
  <w:style w:type="paragraph" w:customStyle="1" w:styleId="Stile1">
    <w:name w:val="Stile1"/>
    <w:basedOn w:val="Normale"/>
    <w:link w:val="Stile1Carattere"/>
    <w:qFormat/>
    <w:rsid w:val="00F6542B"/>
    <w:pPr>
      <w:ind w:firstLine="709"/>
    </w:pPr>
    <w:rPr>
      <w:rFonts w:cstheme="minorBidi"/>
      <w:szCs w:val="22"/>
    </w:rPr>
  </w:style>
  <w:style w:type="character" w:customStyle="1" w:styleId="Stile1Carattere">
    <w:name w:val="Stile1 Carattere"/>
    <w:basedOn w:val="Carpredefinitoparagrafo"/>
    <w:link w:val="Stile1"/>
    <w:rsid w:val="00F6542B"/>
    <w:rPr>
      <w:rFonts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2</cp:revision>
  <dcterms:created xsi:type="dcterms:W3CDTF">2020-03-10T12:11:00Z</dcterms:created>
  <dcterms:modified xsi:type="dcterms:W3CDTF">2020-03-10T12:11:00Z</dcterms:modified>
</cp:coreProperties>
</file>