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4981" w14:textId="77777777" w:rsidR="00C27238" w:rsidRDefault="00C27238">
      <w:r>
        <w:t xml:space="preserve">Diritto amministrativo II </w:t>
      </w:r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 2014/2015</w:t>
      </w:r>
    </w:p>
    <w:p w14:paraId="6581B0A1" w14:textId="77777777" w:rsidR="00996C4B" w:rsidRDefault="00C27238">
      <w:r>
        <w:t>Del volume</w:t>
      </w:r>
      <w:proofErr w:type="gramStart"/>
      <w:r>
        <w:t xml:space="preserve">  </w:t>
      </w:r>
      <w:proofErr w:type="gramEnd"/>
      <w:r>
        <w:t xml:space="preserve">G. Corso e altri, </w:t>
      </w:r>
      <w:r w:rsidRPr="00C27238">
        <w:rPr>
          <w:i/>
        </w:rPr>
        <w:t>Giustizia amministrativa. Casi di giurisprudenza</w:t>
      </w:r>
      <w:r>
        <w:t xml:space="preserve">, Torino 2014 </w:t>
      </w:r>
      <w:proofErr w:type="gramStart"/>
      <w:r>
        <w:t>sono</w:t>
      </w:r>
      <w:proofErr w:type="gramEnd"/>
      <w:r>
        <w:t xml:space="preserve"> da studiare le seguenti sentenze:</w:t>
      </w:r>
    </w:p>
    <w:p w14:paraId="3B61F75E" w14:textId="77777777" w:rsidR="008508EA" w:rsidRDefault="008508EA"/>
    <w:p w14:paraId="385B93B0" w14:textId="77777777" w:rsidR="00C27238" w:rsidRPr="00C21F62" w:rsidRDefault="00C27238">
      <w:pPr>
        <w:rPr>
          <w:b/>
        </w:rPr>
      </w:pPr>
      <w:r w:rsidRPr="00C21F62">
        <w:rPr>
          <w:b/>
        </w:rPr>
        <w:t xml:space="preserve"> Capitolo II,</w:t>
      </w:r>
      <w:proofErr w:type="gramStart"/>
      <w:r w:rsidRPr="00C21F62">
        <w:rPr>
          <w:b/>
        </w:rPr>
        <w:t xml:space="preserve">  </w:t>
      </w:r>
      <w:proofErr w:type="gramEnd"/>
      <w:r w:rsidRPr="00C21F62">
        <w:rPr>
          <w:b/>
          <w:i/>
        </w:rPr>
        <w:t>Il riparto di giurisdizione</w:t>
      </w:r>
    </w:p>
    <w:p w14:paraId="2C3D85CE" w14:textId="77777777" w:rsidR="00C27238" w:rsidRDefault="00C27238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1</w:t>
      </w:r>
      <w:r>
        <w:t>, Corte di Cassazione, S. U., 6 novembre 1991, n. 11851, p. 21 ss.</w:t>
      </w:r>
    </w:p>
    <w:p w14:paraId="4F42F286" w14:textId="77777777" w:rsidR="00C27238" w:rsidRDefault="00C27238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2</w:t>
      </w:r>
      <w:r>
        <w:t xml:space="preserve">, Corte di Cassazione, S. U., </w:t>
      </w:r>
      <w:proofErr w:type="spellStart"/>
      <w:r>
        <w:t>ord</w:t>
      </w:r>
      <w:proofErr w:type="spellEnd"/>
      <w:r>
        <w:t>. 15 febbraio 2011, n. 3670, p. 23 ss.</w:t>
      </w:r>
    </w:p>
    <w:p w14:paraId="565ECB7B" w14:textId="14E0AE17" w:rsidR="00C27238" w:rsidRDefault="00C27238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3</w:t>
      </w:r>
      <w:r w:rsidR="00C21F62">
        <w:rPr>
          <w:b/>
        </w:rPr>
        <w:t>,</w:t>
      </w:r>
      <w:r>
        <w:t xml:space="preserve"> Consiglio di Stato, Ad. </w:t>
      </w:r>
      <w:proofErr w:type="spellStart"/>
      <w:r>
        <w:t>pl</w:t>
      </w:r>
      <w:proofErr w:type="spellEnd"/>
      <w:r>
        <w:t>., 29 gennaio 2014, n. 6, p. 25</w:t>
      </w:r>
    </w:p>
    <w:p w14:paraId="5C85C553" w14:textId="6E0D4781" w:rsidR="00C27238" w:rsidRDefault="00C27238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4</w:t>
      </w:r>
      <w:r w:rsidR="00C21F62">
        <w:t>,</w:t>
      </w:r>
      <w:r>
        <w:t xml:space="preserve"> Co</w:t>
      </w:r>
      <w:r w:rsidR="007848A8">
        <w:t>rte costituzionale, 6 luglio 200</w:t>
      </w:r>
      <w:r>
        <w:t>4, n. 204, p. 32</w:t>
      </w:r>
    </w:p>
    <w:p w14:paraId="12EFDAEB" w14:textId="77777777" w:rsidR="00C27238" w:rsidRDefault="00C27238"/>
    <w:p w14:paraId="16AE3414" w14:textId="77777777" w:rsidR="00C27238" w:rsidRPr="00C21F62" w:rsidRDefault="00C27238">
      <w:pPr>
        <w:rPr>
          <w:b/>
        </w:rPr>
      </w:pPr>
      <w:r w:rsidRPr="00C21F62">
        <w:rPr>
          <w:b/>
        </w:rPr>
        <w:t xml:space="preserve">Capitolo III, </w:t>
      </w:r>
      <w:r w:rsidRPr="00C21F62">
        <w:rPr>
          <w:b/>
          <w:i/>
        </w:rPr>
        <w:t>Il giudice ordinario. Poteri e limiti</w:t>
      </w:r>
    </w:p>
    <w:p w14:paraId="34109A6A" w14:textId="77777777" w:rsidR="00C27238" w:rsidRDefault="00C27238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 10</w:t>
      </w:r>
      <w:r>
        <w:t>, Corte di Cassazione, sez. lav., 3 ottobre 1996, n. 8661, p. 63</w:t>
      </w:r>
    </w:p>
    <w:p w14:paraId="7C00A25B" w14:textId="2C77623F" w:rsidR="00C27238" w:rsidRDefault="00C27238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12</w:t>
      </w:r>
      <w:r>
        <w:t xml:space="preserve">, </w:t>
      </w:r>
      <w:r w:rsidR="002002C6">
        <w:t>Corte di Cassazione, S. U.,</w:t>
      </w:r>
      <w:r w:rsidR="00C21F62">
        <w:t xml:space="preserve"> </w:t>
      </w:r>
      <w:r w:rsidR="002002C6">
        <w:t>29 marzo 1989, n. 1540, p. 70</w:t>
      </w:r>
    </w:p>
    <w:p w14:paraId="3F6172B2" w14:textId="77777777" w:rsidR="002002C6" w:rsidRDefault="002002C6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13</w:t>
      </w:r>
      <w:r>
        <w:t>, Corte di Cassazione, S. U., 20 febbraio 1992, n. 2091, p. 72</w:t>
      </w:r>
    </w:p>
    <w:p w14:paraId="19A18448" w14:textId="77777777" w:rsidR="00054E89" w:rsidRDefault="00054E89"/>
    <w:p w14:paraId="1879F766" w14:textId="296D2991" w:rsidR="002002C6" w:rsidRDefault="00054E89">
      <w:pPr>
        <w:rPr>
          <w:b/>
          <w:i/>
        </w:rPr>
      </w:pPr>
      <w:r w:rsidRPr="00C21F62">
        <w:rPr>
          <w:b/>
        </w:rPr>
        <w:t xml:space="preserve">Capitolo </w:t>
      </w:r>
      <w:r>
        <w:rPr>
          <w:b/>
        </w:rPr>
        <w:t>I</w:t>
      </w:r>
      <w:r w:rsidRPr="00C21F62">
        <w:rPr>
          <w:b/>
        </w:rPr>
        <w:t>V,</w:t>
      </w:r>
      <w:r>
        <w:rPr>
          <w:b/>
        </w:rPr>
        <w:t xml:space="preserve"> </w:t>
      </w:r>
      <w:r>
        <w:rPr>
          <w:b/>
          <w:i/>
        </w:rPr>
        <w:t>Le condizioni dell’azione</w:t>
      </w:r>
    </w:p>
    <w:p w14:paraId="6126D2AD" w14:textId="5F61DCB6" w:rsidR="00054E89" w:rsidRDefault="00054E89">
      <w:proofErr w:type="gramStart"/>
      <w:r>
        <w:rPr>
          <w:b/>
        </w:rPr>
        <w:t>n.</w:t>
      </w:r>
      <w:proofErr w:type="gramEnd"/>
      <w:r>
        <w:rPr>
          <w:b/>
        </w:rPr>
        <w:t xml:space="preserve"> 19, </w:t>
      </w:r>
      <w:r>
        <w:t>Consiglio di Stato, commissione speciale, parere 26 giugno 2013, n. 3014, p. 109</w:t>
      </w:r>
    </w:p>
    <w:p w14:paraId="3BD46CE2" w14:textId="3760C7FE" w:rsidR="00054E89" w:rsidRDefault="00054E89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20</w:t>
      </w:r>
      <w:r>
        <w:t>, Tar Lazio Roma, sez. III, 15 marzo 2013, n. 2720, p. 114</w:t>
      </w:r>
    </w:p>
    <w:p w14:paraId="485D1E50" w14:textId="704DA10F" w:rsidR="00054E89" w:rsidRDefault="00054E89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23</w:t>
      </w:r>
      <w:r>
        <w:t>, Tar Emilia Romagna, sez. I, 17 settembre 2012, n. 564, p. 126</w:t>
      </w:r>
    </w:p>
    <w:p w14:paraId="16E52874" w14:textId="4FABFAE6" w:rsidR="00054E89" w:rsidRDefault="00054E89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24</w:t>
      </w:r>
      <w:r>
        <w:t>, Consiglio di Stato, sez. V, 2 aprile 2001, n. 1902, p. 128</w:t>
      </w:r>
    </w:p>
    <w:p w14:paraId="6D28C21E" w14:textId="77777777" w:rsidR="00054E89" w:rsidRPr="00054E89" w:rsidRDefault="00054E89"/>
    <w:p w14:paraId="1A14CAA4" w14:textId="77777777" w:rsidR="00E811CC" w:rsidRPr="00C21F62" w:rsidRDefault="008508EA">
      <w:pPr>
        <w:rPr>
          <w:b/>
        </w:rPr>
      </w:pPr>
      <w:proofErr w:type="gramStart"/>
      <w:r w:rsidRPr="00C21F62">
        <w:rPr>
          <w:b/>
        </w:rPr>
        <w:t xml:space="preserve">Capitolo V, </w:t>
      </w:r>
      <w:r w:rsidRPr="00C21F62">
        <w:rPr>
          <w:b/>
          <w:i/>
        </w:rPr>
        <w:t>L’azione di annullamento e il giudizio di primo grado</w:t>
      </w:r>
      <w:proofErr w:type="gramEnd"/>
    </w:p>
    <w:p w14:paraId="2AAEAD1A" w14:textId="77777777" w:rsidR="008508EA" w:rsidRDefault="008508EA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26</w:t>
      </w:r>
      <w:r>
        <w:t>, Consiglio di Stato, sez. IV, 25 maggio 2012, n. 3083, p. 138</w:t>
      </w:r>
    </w:p>
    <w:p w14:paraId="0A3388C7" w14:textId="77777777" w:rsidR="008508EA" w:rsidRDefault="008508EA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27</w:t>
      </w:r>
      <w:r>
        <w:t>, Consiglio di Stato, sez. IV, 9 maggio 2013, n. 2521, p. 141</w:t>
      </w:r>
    </w:p>
    <w:p w14:paraId="7612F4F5" w14:textId="77777777" w:rsidR="008508EA" w:rsidRDefault="008508EA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29</w:t>
      </w:r>
      <w:r>
        <w:t xml:space="preserve">, Consiglio di Stato, Ad. </w:t>
      </w:r>
      <w:proofErr w:type="spellStart"/>
      <w:r>
        <w:t>pl</w:t>
      </w:r>
      <w:proofErr w:type="spellEnd"/>
      <w:r>
        <w:t>., 25 febbraio 2014, n. 9, p. 146</w:t>
      </w:r>
    </w:p>
    <w:p w14:paraId="504C63D3" w14:textId="77777777" w:rsidR="008508EA" w:rsidRDefault="008508EA">
      <w:proofErr w:type="gramStart"/>
      <w:r w:rsidRPr="00C21F62">
        <w:rPr>
          <w:b/>
        </w:rPr>
        <w:t>n.</w:t>
      </w:r>
      <w:proofErr w:type="gramEnd"/>
      <w:r w:rsidRPr="00C21F62">
        <w:rPr>
          <w:b/>
        </w:rPr>
        <w:t xml:space="preserve"> 30</w:t>
      </w:r>
      <w:r>
        <w:t>, Consiglio di Stato, sez. VI, 10 maggio 2011, n. 2755, p. 158</w:t>
      </w:r>
    </w:p>
    <w:p w14:paraId="1D9E6335" w14:textId="77777777" w:rsidR="008508EA" w:rsidRDefault="008508EA"/>
    <w:p w14:paraId="60509BA7" w14:textId="77777777" w:rsidR="00E811CC" w:rsidRPr="00C21F62" w:rsidRDefault="00E811CC">
      <w:pPr>
        <w:rPr>
          <w:b/>
        </w:rPr>
      </w:pPr>
      <w:r w:rsidRPr="00C21F62">
        <w:rPr>
          <w:b/>
        </w:rPr>
        <w:t xml:space="preserve">Capitolo VI, </w:t>
      </w:r>
      <w:r w:rsidRPr="00C21F62">
        <w:rPr>
          <w:b/>
          <w:i/>
        </w:rPr>
        <w:t>L’azione avverso il silenzio</w:t>
      </w:r>
    </w:p>
    <w:p w14:paraId="0F7046BD" w14:textId="77777777" w:rsidR="00E811CC" w:rsidRDefault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31</w:t>
      </w:r>
      <w:r>
        <w:t>, Tar Trentino Alto Adige</w:t>
      </w:r>
      <w:r w:rsidR="00E811CC">
        <w:t>, Trento, 9 marzo 2012, n. 74, p. 166</w:t>
      </w:r>
    </w:p>
    <w:p w14:paraId="615677CE" w14:textId="77777777" w:rsidR="00E811CC" w:rsidRDefault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32</w:t>
      </w:r>
      <w:r>
        <w:t>, Tar Campania, Napoli, 8 marzo 2012, n. 1185, p. 169</w:t>
      </w:r>
    </w:p>
    <w:p w14:paraId="4D3F0E0D" w14:textId="77777777" w:rsidR="00E811CC" w:rsidRDefault="00E811CC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33</w:t>
      </w:r>
      <w:r>
        <w:t>, Tar Calabria, Catanzaro, sez. I, 13 giugno 2011, n. 899, p. 171</w:t>
      </w:r>
    </w:p>
    <w:p w14:paraId="7722E6C3" w14:textId="77777777" w:rsidR="00E851E0" w:rsidRDefault="00E851E0"/>
    <w:p w14:paraId="229474DD" w14:textId="1E1A6F0C" w:rsidR="00E851E0" w:rsidRPr="00C21F62" w:rsidRDefault="00E851E0">
      <w:pPr>
        <w:rPr>
          <w:b/>
        </w:rPr>
      </w:pPr>
      <w:r w:rsidRPr="00C21F62">
        <w:rPr>
          <w:b/>
        </w:rPr>
        <w:t xml:space="preserve">Capitolo VIII, </w:t>
      </w:r>
      <w:r w:rsidRPr="00C21F62">
        <w:rPr>
          <w:b/>
          <w:i/>
        </w:rPr>
        <w:t>L’azione di condanna al risarcimento del danno</w:t>
      </w:r>
    </w:p>
    <w:p w14:paraId="10FBCB04" w14:textId="0E253082" w:rsidR="00E851E0" w:rsidRDefault="00E851E0">
      <w:proofErr w:type="gramStart"/>
      <w:r>
        <w:t>n.</w:t>
      </w:r>
      <w:proofErr w:type="gramEnd"/>
      <w:r>
        <w:t xml:space="preserve"> 36, Corte di Cassazione, S. U., 22 luglio 1999, n. 500, p. 193</w:t>
      </w:r>
    </w:p>
    <w:p w14:paraId="31732BAE" w14:textId="2A5F81DD" w:rsidR="00E66BC8" w:rsidRDefault="00E66BC8">
      <w:proofErr w:type="gramStart"/>
      <w:r>
        <w:t>n.</w:t>
      </w:r>
      <w:proofErr w:type="gramEnd"/>
      <w:r>
        <w:t xml:space="preserve"> 38, Consiglio di Stato, Ad. </w:t>
      </w:r>
      <w:proofErr w:type="spellStart"/>
      <w:r>
        <w:t>pl</w:t>
      </w:r>
      <w:proofErr w:type="spellEnd"/>
      <w:r>
        <w:t>., 23 marzo 2011, n. 3, p. 210</w:t>
      </w:r>
    </w:p>
    <w:p w14:paraId="0E45283C" w14:textId="77777777" w:rsidR="00E851E0" w:rsidRDefault="00E851E0"/>
    <w:p w14:paraId="070AD800" w14:textId="77777777" w:rsidR="00E811CC" w:rsidRDefault="00E811CC"/>
    <w:p w14:paraId="460D3238" w14:textId="77777777" w:rsidR="008508EA" w:rsidRPr="00C21F62" w:rsidRDefault="008508EA" w:rsidP="008508EA">
      <w:pPr>
        <w:rPr>
          <w:b/>
        </w:rPr>
      </w:pPr>
      <w:r w:rsidRPr="00C21F62">
        <w:rPr>
          <w:b/>
        </w:rPr>
        <w:t xml:space="preserve">Capitolo X, </w:t>
      </w:r>
      <w:r w:rsidRPr="00C21F62">
        <w:rPr>
          <w:b/>
          <w:i/>
        </w:rPr>
        <w:t>L’azione cautelare</w:t>
      </w:r>
    </w:p>
    <w:p w14:paraId="034C6D5B" w14:textId="77777777" w:rsidR="008508EA" w:rsidRDefault="008508EA" w:rsidP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45</w:t>
      </w:r>
      <w:r>
        <w:t xml:space="preserve">, Tar Lazio, Roma, sez. II </w:t>
      </w:r>
      <w:r w:rsidRPr="00E811CC">
        <w:rPr>
          <w:i/>
        </w:rPr>
        <w:t>quater</w:t>
      </w:r>
      <w:r>
        <w:t>, 2 luglio 2007, n. 5893, p. 261</w:t>
      </w:r>
    </w:p>
    <w:p w14:paraId="260BFBD3" w14:textId="77777777" w:rsidR="008508EA" w:rsidRDefault="008508EA" w:rsidP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46</w:t>
      </w:r>
      <w:r>
        <w:t>, Consiglio di Stato, sez. IV, 5 agosto 2005, n. 4165, p. 263</w:t>
      </w:r>
    </w:p>
    <w:p w14:paraId="34C8973C" w14:textId="77777777" w:rsidR="008508EA" w:rsidRDefault="008508EA" w:rsidP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47</w:t>
      </w:r>
      <w:r>
        <w:t>, Corte costituzionale, 9 aprile 2009, n. 108, p. 269</w:t>
      </w:r>
    </w:p>
    <w:p w14:paraId="0E5EB184" w14:textId="77777777" w:rsidR="008508EA" w:rsidRDefault="008508EA" w:rsidP="008508EA"/>
    <w:p w14:paraId="61CCCAD3" w14:textId="77777777" w:rsidR="008508EA" w:rsidRPr="00C21F62" w:rsidRDefault="008508EA" w:rsidP="008508EA">
      <w:pPr>
        <w:rPr>
          <w:b/>
        </w:rPr>
      </w:pPr>
      <w:r w:rsidRPr="00C21F62">
        <w:rPr>
          <w:b/>
        </w:rPr>
        <w:t xml:space="preserve">Capitolo XI, </w:t>
      </w:r>
      <w:r w:rsidRPr="00C21F62">
        <w:rPr>
          <w:b/>
          <w:i/>
        </w:rPr>
        <w:t>L’istruttoria</w:t>
      </w:r>
    </w:p>
    <w:p w14:paraId="088DF180" w14:textId="77777777" w:rsidR="008508EA" w:rsidRDefault="008508EA" w:rsidP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56</w:t>
      </w:r>
      <w:r>
        <w:t>, C.G.A., sez. giur., 14 dicembre 2009, n. 1183, p. 302</w:t>
      </w:r>
    </w:p>
    <w:p w14:paraId="48765DBE" w14:textId="77777777" w:rsidR="008508EA" w:rsidRDefault="008508EA" w:rsidP="008508EA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57</w:t>
      </w:r>
      <w:r>
        <w:t>, T.A.R. Sicilia, Catania, sez. I, 1 agosti 2011, n. 2044, p. 306</w:t>
      </w:r>
    </w:p>
    <w:p w14:paraId="7FF71C3C" w14:textId="77777777" w:rsidR="00E811CC" w:rsidRDefault="00E811CC"/>
    <w:p w14:paraId="46031E4F" w14:textId="77777777" w:rsidR="002002C6" w:rsidRPr="00C21F62" w:rsidRDefault="00AB2239">
      <w:pPr>
        <w:rPr>
          <w:b/>
        </w:rPr>
      </w:pPr>
      <w:r w:rsidRPr="00C21F62">
        <w:rPr>
          <w:b/>
        </w:rPr>
        <w:t xml:space="preserve">Capitolo XII, </w:t>
      </w:r>
      <w:r w:rsidRPr="00C21F62">
        <w:rPr>
          <w:b/>
          <w:i/>
        </w:rPr>
        <w:t>La sentenza</w:t>
      </w:r>
    </w:p>
    <w:p w14:paraId="00AEA7ED" w14:textId="77777777" w:rsidR="00AB2239" w:rsidRDefault="00AB2239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59</w:t>
      </w:r>
      <w:r>
        <w:t>, Consiglio di Stato, sez. V, 12 maggio 2011, n. 2817, p. 317</w:t>
      </w:r>
    </w:p>
    <w:p w14:paraId="476CDFCD" w14:textId="77777777" w:rsidR="00AB2239" w:rsidRDefault="00AB2239"/>
    <w:p w14:paraId="36D297DC" w14:textId="77777777" w:rsidR="002002C6" w:rsidRPr="00C21F62" w:rsidRDefault="00AB2239">
      <w:pPr>
        <w:rPr>
          <w:b/>
        </w:rPr>
      </w:pPr>
      <w:r w:rsidRPr="00C21F62">
        <w:rPr>
          <w:b/>
        </w:rPr>
        <w:t xml:space="preserve">Capitolo XIII, </w:t>
      </w:r>
      <w:r w:rsidRPr="00C21F62">
        <w:rPr>
          <w:b/>
          <w:i/>
        </w:rPr>
        <w:t>Le impugnazioni</w:t>
      </w:r>
    </w:p>
    <w:p w14:paraId="4818B6CD" w14:textId="77777777" w:rsidR="00AB2239" w:rsidRDefault="00AB2239">
      <w:proofErr w:type="gramStart"/>
      <w:r w:rsidRPr="00111119">
        <w:rPr>
          <w:b/>
        </w:rPr>
        <w:lastRenderedPageBreak/>
        <w:t>n.</w:t>
      </w:r>
      <w:proofErr w:type="gramEnd"/>
      <w:r w:rsidRPr="00111119">
        <w:rPr>
          <w:b/>
        </w:rPr>
        <w:t xml:space="preserve"> 64</w:t>
      </w:r>
      <w:r>
        <w:t xml:space="preserve">, Consiglio di Stato, Ad. </w:t>
      </w:r>
      <w:proofErr w:type="spellStart"/>
      <w:r>
        <w:t>pl</w:t>
      </w:r>
      <w:proofErr w:type="spellEnd"/>
      <w:r>
        <w:t>., 19 gennaio 1999, n. 1, p. 338</w:t>
      </w:r>
    </w:p>
    <w:p w14:paraId="7729B52E" w14:textId="77777777" w:rsidR="00AB2239" w:rsidRDefault="00AB2239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67</w:t>
      </w:r>
      <w:r>
        <w:t>, Consiglio di Stato, sez. VI, 9 maggio 2011, n. 2738, p. 345</w:t>
      </w:r>
    </w:p>
    <w:p w14:paraId="16189655" w14:textId="77777777" w:rsidR="00AB2239" w:rsidRDefault="00AB2239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68</w:t>
      </w:r>
      <w:r>
        <w:t>,</w:t>
      </w:r>
      <w:r w:rsidRPr="00AB2239">
        <w:t xml:space="preserve"> </w:t>
      </w:r>
      <w:r>
        <w:t xml:space="preserve">Consiglio di Stato, Ad. </w:t>
      </w:r>
      <w:proofErr w:type="spellStart"/>
      <w:r>
        <w:t>pl</w:t>
      </w:r>
      <w:proofErr w:type="spellEnd"/>
      <w:r>
        <w:t>., 16 dicembre 2011, n. 24 p. 348</w:t>
      </w:r>
    </w:p>
    <w:p w14:paraId="4E9BE177" w14:textId="77777777" w:rsidR="002002C6" w:rsidRDefault="002002C6"/>
    <w:p w14:paraId="4D257EE0" w14:textId="77777777" w:rsidR="002002C6" w:rsidRPr="00C21F62" w:rsidRDefault="002002C6">
      <w:pPr>
        <w:rPr>
          <w:b/>
        </w:rPr>
      </w:pPr>
      <w:r w:rsidRPr="00C21F62">
        <w:rPr>
          <w:b/>
        </w:rPr>
        <w:t xml:space="preserve">Capitolo XIV, </w:t>
      </w:r>
      <w:r w:rsidRPr="00C21F62">
        <w:rPr>
          <w:b/>
          <w:i/>
        </w:rPr>
        <w:t>Il giudicato e l’ottemperanza</w:t>
      </w:r>
    </w:p>
    <w:p w14:paraId="32813FC0" w14:textId="77777777" w:rsidR="002002C6" w:rsidRDefault="002002C6"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74</w:t>
      </w:r>
      <w:r>
        <w:t xml:space="preserve">, Consiglio di Stato, sez. VI, 18 novembre 2010, n. 8106, p. </w:t>
      </w:r>
      <w:r w:rsidR="00AB2239">
        <w:t>381</w:t>
      </w:r>
    </w:p>
    <w:p w14:paraId="3AFF0AD9" w14:textId="77777777" w:rsidR="00AB2239" w:rsidRDefault="00AB2239">
      <w:bookmarkStart w:id="0" w:name="_GoBack"/>
      <w:proofErr w:type="gramStart"/>
      <w:r w:rsidRPr="00111119">
        <w:rPr>
          <w:b/>
        </w:rPr>
        <w:t>n.</w:t>
      </w:r>
      <w:proofErr w:type="gramEnd"/>
      <w:r w:rsidRPr="00111119">
        <w:rPr>
          <w:b/>
        </w:rPr>
        <w:t xml:space="preserve"> 79</w:t>
      </w:r>
      <w:bookmarkEnd w:id="0"/>
      <w:r>
        <w:t>,  Consiglio di Stato, sez. V, 23 maggio 2011, n. 3078, p. 401</w:t>
      </w:r>
    </w:p>
    <w:p w14:paraId="654FF102" w14:textId="77777777" w:rsidR="00C27238" w:rsidRDefault="00C27238"/>
    <w:p w14:paraId="46DDD32F" w14:textId="77777777" w:rsidR="00C27238" w:rsidRDefault="00C27238"/>
    <w:p w14:paraId="46FB9CC6" w14:textId="77777777" w:rsidR="00C27238" w:rsidRDefault="00C27238"/>
    <w:sectPr w:rsidR="00C27238" w:rsidSect="00996C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38"/>
    <w:rsid w:val="00054E89"/>
    <w:rsid w:val="00111119"/>
    <w:rsid w:val="002002C6"/>
    <w:rsid w:val="007848A8"/>
    <w:rsid w:val="008508EA"/>
    <w:rsid w:val="00996C4B"/>
    <w:rsid w:val="00AB2239"/>
    <w:rsid w:val="00C21F62"/>
    <w:rsid w:val="00C27238"/>
    <w:rsid w:val="00E66BC8"/>
    <w:rsid w:val="00E811CC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1A3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Savona</dc:creator>
  <cp:keywords/>
  <dc:description/>
  <cp:lastModifiedBy>Paola Savona</cp:lastModifiedBy>
  <cp:revision>7</cp:revision>
  <dcterms:created xsi:type="dcterms:W3CDTF">2015-03-25T15:44:00Z</dcterms:created>
  <dcterms:modified xsi:type="dcterms:W3CDTF">2015-05-13T09:45:00Z</dcterms:modified>
</cp:coreProperties>
</file>