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2A654" w14:textId="54645323" w:rsidR="00F245C1" w:rsidRPr="00F245C1" w:rsidRDefault="00F245C1" w:rsidP="00F245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</w:pPr>
      <w:bookmarkStart w:id="0" w:name="34.7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34.7.0.</w:t>
      </w:r>
      <w:bookmarkEnd w:id="0"/>
      <w:r w:rsidR="00AE07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 De </w:t>
      </w:r>
      <w:proofErr w:type="spellStart"/>
      <w:r w:rsidR="00AE07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regula</w:t>
      </w:r>
      <w:proofErr w:type="spellEnd"/>
      <w:r w:rsidR="00AE07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 </w:t>
      </w:r>
      <w:proofErr w:type="spellStart"/>
      <w:r w:rsidR="00AE07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Catoniana</w:t>
      </w:r>
      <w:bookmarkStart w:id="1" w:name="_GoBack"/>
      <w:bookmarkEnd w:id="1"/>
      <w:proofErr w:type="spellEnd"/>
    </w:p>
    <w:p w14:paraId="63B3C4B9" w14:textId="77777777" w:rsidR="00F245C1" w:rsidRPr="00F245C1" w:rsidRDefault="00621AF6" w:rsidP="00F24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pict w14:anchorId="4D5902B4">
          <v:rect id="_x0000_i1025" style="width:451.3pt;height:1pt" o:hralign="center" o:hrstd="t" o:hrnoshade="t" o:hr="t" fillcolor="black" stroked="f"/>
        </w:pict>
      </w:r>
    </w:p>
    <w:p w14:paraId="028EE6BF" w14:textId="77777777" w:rsidR="00F245C1" w:rsidRPr="00F245C1" w:rsidRDefault="00F245C1" w:rsidP="00F245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</w:pPr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  </w:t>
      </w:r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br/>
      </w:r>
      <w:bookmarkStart w:id="2" w:name="34.7.1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34.7.1</w:t>
      </w:r>
      <w:bookmarkEnd w:id="2"/>
    </w:p>
    <w:p w14:paraId="3F36D254" w14:textId="77777777" w:rsidR="00F245C1" w:rsidRPr="00F245C1" w:rsidRDefault="00F245C1" w:rsidP="00F245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</w:pPr>
      <w:proofErr w:type="spellStart"/>
      <w:r w:rsidRPr="00F245C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it-IT" w:eastAsia="en-GB"/>
        </w:rPr>
        <w:t>Celsus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it-IT" w:eastAsia="en-GB"/>
        </w:rPr>
        <w:t xml:space="preserve"> libro 35 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it-IT" w:eastAsia="en-GB"/>
        </w:rPr>
        <w:t>digestorum</w:t>
      </w:r>
      <w:proofErr w:type="spellEnd"/>
    </w:p>
    <w:p w14:paraId="352FA90D" w14:textId="77777777" w:rsidR="00F245C1" w:rsidRPr="00F245C1" w:rsidRDefault="00F245C1" w:rsidP="00F245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</w:pPr>
      <w:bookmarkStart w:id="3" w:name="34.7.1.pr.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pr.</w:t>
      </w:r>
      <w:bookmarkEnd w:id="3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 xml:space="preserve"> Catoniana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regula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 xml:space="preserve"> sic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definit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 xml:space="preserve">,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quod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 xml:space="preserve">, si testamenti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facti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 xml:space="preserve"> tempore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decessisset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 xml:space="preserve"> testator, inutile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foret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 xml:space="preserve">, id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legatum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 xml:space="preserve">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quandocumque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 xml:space="preserve">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decesserit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 xml:space="preserve">, non valere.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Quae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 xml:space="preserve">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definitio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 xml:space="preserve"> in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quibusdam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 xml:space="preserve"> falsa est.</w:t>
      </w:r>
    </w:p>
    <w:p w14:paraId="00751B9D" w14:textId="77777777" w:rsidR="00F245C1" w:rsidRPr="00F245C1" w:rsidRDefault="00F245C1" w:rsidP="00F245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</w:pPr>
      <w:bookmarkStart w:id="4" w:name="34.7.1.1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1.</w:t>
      </w:r>
      <w:bookmarkEnd w:id="4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 xml:space="preserve"> Quid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enim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 xml:space="preserve">, si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quis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 xml:space="preserve"> ita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legaverit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 xml:space="preserve">: "Si post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kalendas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 xml:space="preserve">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mortuus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 xml:space="preserve">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fuero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 xml:space="preserve">,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Titio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 xml:space="preserve"> dato?" An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cavillamur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 xml:space="preserve">?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Nam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 xml:space="preserve"> hoc modo si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statim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 xml:space="preserve">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mortuus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 xml:space="preserve">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fuerit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 xml:space="preserve">, non esse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datum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 xml:space="preserve">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legatum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 xml:space="preserve">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verius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 xml:space="preserve"> est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quam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 xml:space="preserve">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inutiliter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 xml:space="preserve">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datum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.</w:t>
      </w:r>
    </w:p>
    <w:p w14:paraId="23A09115" w14:textId="26424C10" w:rsidR="008E735E" w:rsidRDefault="00F245C1" w:rsidP="00F245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</w:pPr>
      <w:bookmarkStart w:id="5" w:name="34.7.1.2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2.</w:t>
      </w:r>
      <w:bookmarkEnd w:id="5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 xml:space="preserve"> Item si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tibi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 xml:space="preserve">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legatus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 xml:space="preserve"> est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fundus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 xml:space="preserve">, qui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scribendi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 xml:space="preserve"> testamenti tempore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tuus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 xml:space="preserve"> est, si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eum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 xml:space="preserve"> vivo testatore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alienaveris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 xml:space="preserve">,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legatum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 xml:space="preserve">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tibi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 xml:space="preserve">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debetur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 xml:space="preserve">,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quod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 xml:space="preserve"> non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deberetur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 xml:space="preserve">, si testator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statim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 xml:space="preserve">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decessisset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.</w:t>
      </w:r>
    </w:p>
    <w:p w14:paraId="2C043F59" w14:textId="78822315" w:rsidR="00DD0C80" w:rsidRPr="00DD0C80" w:rsidRDefault="00DD0C80" w:rsidP="00F245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</w:pPr>
      <w:r w:rsidRPr="00DD0C80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  <w:t>Celso</w:t>
      </w:r>
      <w:r w:rsidR="00455CC2" w:rsidRPr="00DD0C80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  <w:t xml:space="preserve"> nel libro </w:t>
      </w:r>
      <w:r w:rsidRPr="00DD0C80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  <w:t>trentacinqu</w:t>
      </w:r>
      <w:r w:rsidR="00455CC2" w:rsidRPr="00DD0C80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  <w:t xml:space="preserve">esimo dei </w:t>
      </w:r>
      <w:r w:rsidRPr="00DD0C80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  <w:t>Dig</w:t>
      </w:r>
      <w:r w:rsidR="00455CC2" w:rsidRPr="00DD0C80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  <w:t>esti</w:t>
      </w:r>
      <w:r w:rsidRPr="00DD0C80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  <w:t xml:space="preserve"> </w:t>
      </w:r>
    </w:p>
    <w:p w14:paraId="72BE4961" w14:textId="77777777" w:rsidR="00B461A5" w:rsidRDefault="00DD0C80" w:rsidP="00BC23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</w:pPr>
      <w:r w:rsidRPr="00DD0C80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  <w:t>L</w:t>
      </w:r>
      <w:r w:rsidR="00455CC2" w:rsidRPr="00DD0C80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  <w:t>a regola</w:t>
      </w:r>
      <w:r w:rsidRPr="00DD0C80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  <w:t xml:space="preserve"> catoniana</w:t>
      </w:r>
      <w:r w:rsidR="00455CC2" w:rsidRPr="00DD0C80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  <w:t xml:space="preserve"> definisce così</w:t>
      </w:r>
      <w:r w:rsidRPr="00DD0C80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  <w:t>:</w:t>
      </w:r>
      <w:r w:rsidR="00455CC2" w:rsidRPr="00DD0C80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  <w:t xml:space="preserve"> quel </w:t>
      </w:r>
      <w:r w:rsidRPr="00DD0C80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  <w:t>&lt;</w:t>
      </w:r>
      <w:r w:rsidR="00455CC2" w:rsidRPr="00DD0C80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  <w:t>legato</w:t>
      </w:r>
      <w:r w:rsidRPr="00DD0C80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  <w:t>&gt;</w:t>
      </w:r>
      <w:r w:rsidR="00455CC2" w:rsidRPr="00DD0C80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  <w:t xml:space="preserve"> che sarebbe invalido se il testatore fosse morto al momento della redazione del testamento</w:t>
      </w:r>
      <w:r w:rsidRPr="00DD0C80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  <w:t>,</w:t>
      </w:r>
      <w:r w:rsidR="00455CC2" w:rsidRPr="00DD0C80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  <w:t xml:space="preserve"> in qualsiasi momento egli muoia non è valido</w:t>
      </w:r>
      <w:r w:rsidRPr="00DD0C80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  <w:t>. T</w:t>
      </w:r>
      <w:r w:rsidR="00455CC2" w:rsidRPr="00DD0C80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  <w:t>ale definizione in taluni casi è falsa</w:t>
      </w:r>
      <w:r w:rsidRPr="00DD0C80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  <w:t xml:space="preserve">. </w:t>
      </w:r>
    </w:p>
    <w:p w14:paraId="136AC61E" w14:textId="77777777" w:rsidR="00B461A5" w:rsidRDefault="00DD0C80" w:rsidP="00BC23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</w:pPr>
      <w:r w:rsidRPr="00DD0C80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  <w:t>1. C</w:t>
      </w:r>
      <w:r w:rsidR="00455CC2" w:rsidRPr="00DD0C80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  <w:t>he accade</w:t>
      </w:r>
      <w:r w:rsidRPr="00DD0C80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  <w:t>,</w:t>
      </w:r>
      <w:r w:rsidR="00455CC2" w:rsidRPr="00DD0C80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  <w:t xml:space="preserve"> dunque</w:t>
      </w:r>
      <w:r w:rsidRPr="00DD0C80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  <w:t>,</w:t>
      </w:r>
      <w:r w:rsidR="00455CC2" w:rsidRPr="00DD0C80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  <w:t xml:space="preserve"> se uno leg</w:t>
      </w:r>
      <w:r w:rsidRPr="00DD0C80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  <w:t>ò</w:t>
      </w:r>
      <w:r w:rsidR="00455CC2" w:rsidRPr="00DD0C80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  <w:t xml:space="preserve"> così</w:t>
      </w:r>
      <w:r w:rsidRPr="00DD0C80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  <w:t>: «</w:t>
      </w:r>
      <w:r w:rsidR="00455CC2" w:rsidRPr="00DD0C80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  <w:t xml:space="preserve">se io sarò morto dopo le calende sia dato a </w:t>
      </w:r>
      <w:r w:rsidRPr="00DD0C80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  <w:t>T</w:t>
      </w:r>
      <w:r w:rsidR="00455CC2" w:rsidRPr="00DD0C80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  <w:t>izio</w:t>
      </w:r>
      <w:r w:rsidRPr="00DD0C80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  <w:t>?».</w:t>
      </w:r>
      <w:r w:rsidR="00455CC2" w:rsidRPr="00DD0C80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  <w:t xml:space="preserve"> </w:t>
      </w:r>
      <w:r w:rsidRPr="00DD0C80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  <w:t>D</w:t>
      </w:r>
      <w:r w:rsidR="00455CC2" w:rsidRPr="00DD0C80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  <w:t>obbiamo cavillare</w:t>
      </w:r>
      <w:r w:rsidRPr="00DD0C80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  <w:t>?</w:t>
      </w:r>
      <w:r w:rsidR="00455CC2" w:rsidRPr="00DD0C80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  <w:t xml:space="preserve"> </w:t>
      </w:r>
      <w:r w:rsidRPr="00DD0C80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  <w:t>I</w:t>
      </w:r>
      <w:r w:rsidR="00455CC2" w:rsidRPr="00DD0C80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  <w:t>nfatti</w:t>
      </w:r>
      <w:r w:rsidRPr="00DD0C80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  <w:t xml:space="preserve">, </w:t>
      </w:r>
      <w:r w:rsidR="00455CC2" w:rsidRPr="00DD0C80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  <w:t>secondo tale definizione</w:t>
      </w:r>
      <w:r w:rsidRPr="00DD0C80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  <w:t>, è più vero che se egli fosse morto subito,</w:t>
      </w:r>
      <w:r w:rsidRPr="00BA0C1B">
        <w:rPr>
          <w:lang w:val="it-IT"/>
        </w:rPr>
        <w:t xml:space="preserve"> </w:t>
      </w:r>
      <w:r w:rsidRPr="00DD0C80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  <w:t xml:space="preserve">il legato non sarebbe stato dato. </w:t>
      </w:r>
    </w:p>
    <w:p w14:paraId="00076A61" w14:textId="09120587" w:rsidR="008E735E" w:rsidRPr="00BC23E2" w:rsidRDefault="008A17C6" w:rsidP="00BC23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  <w:t xml:space="preserve">2. </w:t>
      </w:r>
      <w:r w:rsidR="00DD0C80" w:rsidRPr="00DD0C80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  <w:t>Parimenti, se ti è stato legato un fondo, che al momento della scrittura del testamento è tuo, se tu lo avrai alienato mentre era ancora vivo il testatore, il legato, che non ti sarebbe stato dovuto, se il testatore fosse morto subito ti sarà dovuto.</w:t>
      </w:r>
    </w:p>
    <w:p w14:paraId="4B4894F9" w14:textId="77777777" w:rsidR="00F245C1" w:rsidRPr="00F245C1" w:rsidRDefault="00F245C1" w:rsidP="00F245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</w:pPr>
      <w:bookmarkStart w:id="6" w:name="34.7.2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34.7.2</w:t>
      </w:r>
      <w:bookmarkEnd w:id="6"/>
    </w:p>
    <w:p w14:paraId="3A87F381" w14:textId="77777777" w:rsidR="00F245C1" w:rsidRPr="00F245C1" w:rsidRDefault="00F245C1" w:rsidP="00F245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</w:pPr>
      <w:proofErr w:type="spellStart"/>
      <w:r w:rsidRPr="00F245C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it-IT" w:eastAsia="en-GB"/>
        </w:rPr>
        <w:t>Paulus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it-IT" w:eastAsia="en-GB"/>
        </w:rPr>
        <w:t xml:space="preserve"> libro quarto ad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it-IT" w:eastAsia="en-GB"/>
        </w:rPr>
        <w:t>Plautium</w:t>
      </w:r>
      <w:proofErr w:type="spellEnd"/>
    </w:p>
    <w:p w14:paraId="4E0544A3" w14:textId="266797F0" w:rsidR="008E735E" w:rsidRDefault="00F245C1" w:rsidP="00F245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</w:pPr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 xml:space="preserve">Sed et si sic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legaverit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 xml:space="preserve">: "si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filia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 xml:space="preserve"> mea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Titio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 xml:space="preserve">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nupta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 xml:space="preserve">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erit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 xml:space="preserve">",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sufficere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 xml:space="preserve">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visum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 xml:space="preserve"> est, si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mortis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 xml:space="preserve"> tempore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nupta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 xml:space="preserve">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inveniatur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 xml:space="preserve">, licet testamenti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facti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 xml:space="preserve"> tempore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fuerit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 xml:space="preserve">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impubes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.</w:t>
      </w:r>
    </w:p>
    <w:p w14:paraId="21EA0333" w14:textId="5B69BF7B" w:rsidR="00BC23E2" w:rsidRPr="00BC23E2" w:rsidRDefault="00BC23E2" w:rsidP="00BC23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</w:pPr>
      <w:bookmarkStart w:id="7" w:name="_Hlk98002442"/>
      <w:r w:rsidRPr="00BC23E2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  <w:t xml:space="preserve">Paolo nel libro quarto a </w:t>
      </w:r>
      <w:proofErr w:type="spellStart"/>
      <w:r w:rsidRPr="00BC23E2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  <w:t>Plauzio</w:t>
      </w:r>
      <w:proofErr w:type="spellEnd"/>
    </w:p>
    <w:bookmarkEnd w:id="7"/>
    <w:p w14:paraId="17242AFA" w14:textId="77777777" w:rsidR="00BC23E2" w:rsidRPr="00BC23E2" w:rsidRDefault="00BC23E2" w:rsidP="00BC23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</w:pPr>
      <w:r w:rsidRPr="00BC23E2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  <w:lastRenderedPageBreak/>
        <w:t>Ma anche se uno legò così: «se mia figlia andrà in sposa a Tizio» si è considerato sufficiente se ella si trovi ad essere sposata al tempo della morte del testatore anche se sia stata impubere al tempo della morte &lt;del testatore&gt;.</w:t>
      </w:r>
    </w:p>
    <w:p w14:paraId="5C4FF1E1" w14:textId="77777777" w:rsidR="00F245C1" w:rsidRPr="00F245C1" w:rsidRDefault="00F245C1" w:rsidP="00F245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</w:pPr>
      <w:bookmarkStart w:id="8" w:name="34.7.3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34.7.3</w:t>
      </w:r>
      <w:bookmarkEnd w:id="8"/>
    </w:p>
    <w:p w14:paraId="01FF3E20" w14:textId="77777777" w:rsidR="00F245C1" w:rsidRPr="00F245C1" w:rsidRDefault="00F245C1" w:rsidP="00F245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</w:pPr>
      <w:proofErr w:type="spellStart"/>
      <w:r w:rsidRPr="00F245C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it-IT" w:eastAsia="en-GB"/>
        </w:rPr>
        <w:t>Papinianus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it-IT" w:eastAsia="en-GB"/>
        </w:rPr>
        <w:t xml:space="preserve"> libro 15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it-IT" w:eastAsia="en-GB"/>
        </w:rPr>
        <w:t>quaestionum</w:t>
      </w:r>
      <w:proofErr w:type="spellEnd"/>
    </w:p>
    <w:p w14:paraId="37FF0EFE" w14:textId="77777777" w:rsidR="00F245C1" w:rsidRPr="00F245C1" w:rsidRDefault="00F245C1" w:rsidP="00F245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</w:pPr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 xml:space="preserve">Catoniana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regula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 xml:space="preserve"> non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pertinet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 xml:space="preserve"> ad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hereditates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 xml:space="preserve">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neque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 xml:space="preserve"> ad ea legata, quorum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dies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 xml:space="preserve"> non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mortis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 xml:space="preserve"> tempore,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sed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 xml:space="preserve"> post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aditam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 xml:space="preserve">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cedit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 xml:space="preserve">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hereditatem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.</w:t>
      </w:r>
    </w:p>
    <w:p w14:paraId="7F9747F4" w14:textId="77777777" w:rsidR="00BC23E2" w:rsidRPr="00BC23E2" w:rsidRDefault="00BC23E2" w:rsidP="00BC23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</w:pPr>
      <w:bookmarkStart w:id="9" w:name="34.7.4"/>
      <w:r w:rsidRPr="00BC23E2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  <w:t xml:space="preserve">Papiniano nel libro quindicesimo delle questioni </w:t>
      </w:r>
    </w:p>
    <w:p w14:paraId="69B04D9B" w14:textId="09950E41" w:rsidR="00BC23E2" w:rsidRPr="00BC23E2" w:rsidRDefault="00BC23E2" w:rsidP="00BC23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</w:pPr>
      <w:r w:rsidRPr="00BC23E2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  <w:t>La regola catoniana non riguarda né l’eredità n</w:t>
      </w:r>
      <w:r w:rsidR="002F48A1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  <w:t>é</w:t>
      </w:r>
      <w:r w:rsidRPr="00BC23E2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  <w:t xml:space="preserve"> quei legati per i quali il giorno in cui cominciano ad essere dovuti cade non al momento della morte, ma nel momento successivo all’accettazione dell’eredità. </w:t>
      </w:r>
    </w:p>
    <w:p w14:paraId="4EEEF70C" w14:textId="77777777" w:rsidR="00F245C1" w:rsidRPr="00F245C1" w:rsidRDefault="00F245C1" w:rsidP="00F245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</w:pPr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34.7.4</w:t>
      </w:r>
      <w:bookmarkEnd w:id="9"/>
    </w:p>
    <w:p w14:paraId="408870DC" w14:textId="77777777" w:rsidR="00F245C1" w:rsidRPr="00F245C1" w:rsidRDefault="00F245C1" w:rsidP="00F245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</w:pPr>
      <w:proofErr w:type="spellStart"/>
      <w:r w:rsidRPr="00F245C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it-IT" w:eastAsia="en-GB"/>
        </w:rPr>
        <w:t>Ulpianus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it-IT" w:eastAsia="en-GB"/>
        </w:rPr>
        <w:t xml:space="preserve"> libro decimo ad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it-IT" w:eastAsia="en-GB"/>
        </w:rPr>
        <w:t>Sabinum</w:t>
      </w:r>
      <w:proofErr w:type="spellEnd"/>
    </w:p>
    <w:p w14:paraId="4D5E782B" w14:textId="77777777" w:rsidR="00F245C1" w:rsidRPr="00F245C1" w:rsidRDefault="00F245C1" w:rsidP="00F245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</w:pPr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 xml:space="preserve">Placet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Catonis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 xml:space="preserve">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regulam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 xml:space="preserve"> ad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condicionales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 xml:space="preserve">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institutiones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 xml:space="preserve"> non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pertinere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.</w:t>
      </w:r>
    </w:p>
    <w:p w14:paraId="7CCA7F1A" w14:textId="77777777" w:rsidR="002F48A1" w:rsidRPr="002F48A1" w:rsidRDefault="002F48A1" w:rsidP="002F48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</w:pPr>
      <w:bookmarkStart w:id="10" w:name="34.7.5"/>
      <w:r w:rsidRPr="002F48A1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  <w:t>Ulpiano nel libro decimo a Sabino</w:t>
      </w:r>
    </w:p>
    <w:p w14:paraId="7F7B05B9" w14:textId="77777777" w:rsidR="002F48A1" w:rsidRPr="002F48A1" w:rsidRDefault="002F48A1" w:rsidP="002F48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</w:pPr>
      <w:r w:rsidRPr="002F48A1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  <w:t>Pare bene che la regola catoniana non si applica alle istituzioni di erede sotto condizione.</w:t>
      </w:r>
    </w:p>
    <w:p w14:paraId="3C34F811" w14:textId="77777777" w:rsidR="00F245C1" w:rsidRPr="00F245C1" w:rsidRDefault="00F245C1" w:rsidP="00F245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</w:pPr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34.7.5</w:t>
      </w:r>
      <w:bookmarkEnd w:id="10"/>
    </w:p>
    <w:p w14:paraId="571D73F9" w14:textId="77777777" w:rsidR="00F245C1" w:rsidRPr="00F245C1" w:rsidRDefault="00F245C1" w:rsidP="00F245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</w:pPr>
      <w:proofErr w:type="spellStart"/>
      <w:r w:rsidRPr="00F245C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it-IT" w:eastAsia="en-GB"/>
        </w:rPr>
        <w:t>Ulpianus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it-IT" w:eastAsia="en-GB"/>
        </w:rPr>
        <w:t xml:space="preserve"> libro 22 ad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it-IT" w:eastAsia="en-GB"/>
        </w:rPr>
        <w:t>Sabinum</w:t>
      </w:r>
      <w:proofErr w:type="spellEnd"/>
    </w:p>
    <w:p w14:paraId="1FF70275" w14:textId="77777777" w:rsidR="00F245C1" w:rsidRDefault="00F245C1" w:rsidP="00F245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</w:pPr>
      <w:proofErr w:type="spellStart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Regula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 xml:space="preserve"> Catoniana ad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novas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 xml:space="preserve">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leges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 xml:space="preserve"> non </w:t>
      </w:r>
      <w:proofErr w:type="spellStart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pertinet</w:t>
      </w:r>
      <w:proofErr w:type="spellEnd"/>
      <w:r w:rsidRPr="00F24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.</w:t>
      </w:r>
    </w:p>
    <w:p w14:paraId="5FEC68A7" w14:textId="699DDBCD" w:rsidR="008A17C6" w:rsidRPr="008A17C6" w:rsidRDefault="008A17C6" w:rsidP="008A17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</w:pPr>
      <w:r w:rsidRPr="008A17C6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  <w:t xml:space="preserve">Ulpiano nel libro ventiduesimo a Sabino </w:t>
      </w:r>
    </w:p>
    <w:p w14:paraId="622604AA" w14:textId="7A720F0C" w:rsidR="00F245C1" w:rsidRPr="008A17C6" w:rsidRDefault="008A17C6" w:rsidP="00F245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</w:pPr>
      <w:r w:rsidRPr="008A17C6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  <w:t>La regola catoniana non si applica &lt;ai casi disciplinati&gt; da leggi nuove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  <w:t>.</w:t>
      </w:r>
    </w:p>
    <w:p w14:paraId="678DD681" w14:textId="77777777" w:rsidR="00E81F28" w:rsidRPr="00E81F28" w:rsidRDefault="00E81F28" w:rsidP="00E81F28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E81F28">
        <w:rPr>
          <w:rFonts w:ascii="Times New Roman" w:hAnsi="Times New Roman" w:cs="Times New Roman"/>
          <w:b/>
          <w:sz w:val="28"/>
          <w:szCs w:val="28"/>
          <w:lang w:val="it-IT"/>
        </w:rPr>
        <w:t>D. 50.17.1</w:t>
      </w:r>
      <w:r w:rsidRPr="00E81F28">
        <w:rPr>
          <w:rFonts w:ascii="Times New Roman" w:hAnsi="Times New Roman" w:cs="Times New Roman"/>
          <w:sz w:val="28"/>
          <w:szCs w:val="28"/>
          <w:lang w:val="it-IT"/>
        </w:rPr>
        <w:t xml:space="preserve"> Paul. 16 </w:t>
      </w:r>
      <w:proofErr w:type="gramStart"/>
      <w:r w:rsidRPr="00E81F28">
        <w:rPr>
          <w:rFonts w:ascii="Times New Roman" w:hAnsi="Times New Roman" w:cs="Times New Roman"/>
          <w:sz w:val="28"/>
          <w:szCs w:val="28"/>
          <w:lang w:val="it-IT"/>
        </w:rPr>
        <w:t>ad</w:t>
      </w:r>
      <w:proofErr w:type="gramEnd"/>
      <w:r w:rsidRPr="00E81F28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E81F28">
        <w:rPr>
          <w:rFonts w:ascii="Times New Roman" w:hAnsi="Times New Roman" w:cs="Times New Roman"/>
          <w:sz w:val="28"/>
          <w:szCs w:val="28"/>
          <w:lang w:val="it-IT"/>
        </w:rPr>
        <w:t>Plaut</w:t>
      </w:r>
      <w:proofErr w:type="spellEnd"/>
    </w:p>
    <w:p w14:paraId="476B1085" w14:textId="77777777" w:rsidR="00E81F28" w:rsidRPr="00E81F28" w:rsidRDefault="00E81F28" w:rsidP="00E81F28">
      <w:pPr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 w:rsidRPr="00E81F28">
        <w:rPr>
          <w:rFonts w:ascii="Times New Roman" w:hAnsi="Times New Roman" w:cs="Times New Roman"/>
          <w:b/>
          <w:i/>
          <w:sz w:val="28"/>
          <w:szCs w:val="28"/>
          <w:lang w:val="it-IT"/>
        </w:rPr>
        <w:t>Regula</w:t>
      </w:r>
      <w:proofErr w:type="spellEnd"/>
      <w:r w:rsidRPr="00E81F28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 est, </w:t>
      </w:r>
      <w:proofErr w:type="spellStart"/>
      <w:r w:rsidRPr="00E81F28">
        <w:rPr>
          <w:rFonts w:ascii="Times New Roman" w:hAnsi="Times New Roman" w:cs="Times New Roman"/>
          <w:b/>
          <w:i/>
          <w:sz w:val="28"/>
          <w:szCs w:val="28"/>
          <w:lang w:val="it-IT"/>
        </w:rPr>
        <w:t>quae</w:t>
      </w:r>
      <w:proofErr w:type="spellEnd"/>
      <w:r w:rsidRPr="00E81F28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 rem </w:t>
      </w:r>
      <w:proofErr w:type="spellStart"/>
      <w:r w:rsidRPr="00E81F28">
        <w:rPr>
          <w:rFonts w:ascii="Times New Roman" w:hAnsi="Times New Roman" w:cs="Times New Roman"/>
          <w:b/>
          <w:i/>
          <w:sz w:val="28"/>
          <w:szCs w:val="28"/>
          <w:lang w:val="it-IT"/>
        </w:rPr>
        <w:t>quae</w:t>
      </w:r>
      <w:proofErr w:type="spellEnd"/>
      <w:r w:rsidRPr="00E81F28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 est </w:t>
      </w:r>
      <w:proofErr w:type="spellStart"/>
      <w:r w:rsidRPr="00E81F28">
        <w:rPr>
          <w:rFonts w:ascii="Times New Roman" w:hAnsi="Times New Roman" w:cs="Times New Roman"/>
          <w:b/>
          <w:i/>
          <w:sz w:val="28"/>
          <w:szCs w:val="28"/>
          <w:lang w:val="it-IT"/>
        </w:rPr>
        <w:t>breviter</w:t>
      </w:r>
      <w:proofErr w:type="spellEnd"/>
      <w:r w:rsidRPr="00E81F28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 </w:t>
      </w:r>
      <w:proofErr w:type="spellStart"/>
      <w:r w:rsidRPr="00E81F28">
        <w:rPr>
          <w:rFonts w:ascii="Times New Roman" w:hAnsi="Times New Roman" w:cs="Times New Roman"/>
          <w:b/>
          <w:i/>
          <w:sz w:val="28"/>
          <w:szCs w:val="28"/>
          <w:lang w:val="it-IT"/>
        </w:rPr>
        <w:t>enarrat</w:t>
      </w:r>
      <w:proofErr w:type="spellEnd"/>
      <w:r w:rsidRPr="00E81F28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. Non ex </w:t>
      </w:r>
      <w:proofErr w:type="spellStart"/>
      <w:r w:rsidRPr="00E81F28">
        <w:rPr>
          <w:rFonts w:ascii="Times New Roman" w:hAnsi="Times New Roman" w:cs="Times New Roman"/>
          <w:b/>
          <w:i/>
          <w:sz w:val="28"/>
          <w:szCs w:val="28"/>
          <w:lang w:val="it-IT"/>
        </w:rPr>
        <w:t>regula</w:t>
      </w:r>
      <w:proofErr w:type="spellEnd"/>
      <w:r w:rsidRPr="00E81F28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 </w:t>
      </w:r>
      <w:proofErr w:type="spellStart"/>
      <w:r w:rsidRPr="00E81F28">
        <w:rPr>
          <w:rFonts w:ascii="Times New Roman" w:hAnsi="Times New Roman" w:cs="Times New Roman"/>
          <w:b/>
          <w:i/>
          <w:sz w:val="28"/>
          <w:szCs w:val="28"/>
          <w:lang w:val="it-IT"/>
        </w:rPr>
        <w:t>ius</w:t>
      </w:r>
      <w:proofErr w:type="spellEnd"/>
      <w:r w:rsidRPr="00E81F28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 </w:t>
      </w:r>
      <w:proofErr w:type="spellStart"/>
      <w:r w:rsidRPr="00E81F28">
        <w:rPr>
          <w:rFonts w:ascii="Times New Roman" w:hAnsi="Times New Roman" w:cs="Times New Roman"/>
          <w:b/>
          <w:i/>
          <w:sz w:val="28"/>
          <w:szCs w:val="28"/>
          <w:lang w:val="it-IT"/>
        </w:rPr>
        <w:t>sumatur</w:t>
      </w:r>
      <w:proofErr w:type="spellEnd"/>
      <w:r w:rsidRPr="00E81F28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, </w:t>
      </w:r>
      <w:proofErr w:type="spellStart"/>
      <w:r w:rsidRPr="00E81F28">
        <w:rPr>
          <w:rFonts w:ascii="Times New Roman" w:hAnsi="Times New Roman" w:cs="Times New Roman"/>
          <w:b/>
          <w:i/>
          <w:sz w:val="28"/>
          <w:szCs w:val="28"/>
          <w:lang w:val="it-IT"/>
        </w:rPr>
        <w:t>sed</w:t>
      </w:r>
      <w:proofErr w:type="spellEnd"/>
      <w:r w:rsidRPr="00E81F28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 ex iure, </w:t>
      </w:r>
      <w:proofErr w:type="spellStart"/>
      <w:r w:rsidRPr="00E81F28">
        <w:rPr>
          <w:rFonts w:ascii="Times New Roman" w:hAnsi="Times New Roman" w:cs="Times New Roman"/>
          <w:b/>
          <w:i/>
          <w:sz w:val="28"/>
          <w:szCs w:val="28"/>
          <w:lang w:val="it-IT"/>
        </w:rPr>
        <w:t>quod</w:t>
      </w:r>
      <w:proofErr w:type="spellEnd"/>
      <w:r w:rsidRPr="00E81F28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 est, </w:t>
      </w:r>
      <w:proofErr w:type="spellStart"/>
      <w:r w:rsidRPr="00E81F28">
        <w:rPr>
          <w:rFonts w:ascii="Times New Roman" w:hAnsi="Times New Roman" w:cs="Times New Roman"/>
          <w:b/>
          <w:i/>
          <w:sz w:val="28"/>
          <w:szCs w:val="28"/>
          <w:lang w:val="it-IT"/>
        </w:rPr>
        <w:t>regula</w:t>
      </w:r>
      <w:proofErr w:type="spellEnd"/>
      <w:r w:rsidRPr="00E81F28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 fiat. Per </w:t>
      </w:r>
      <w:proofErr w:type="spellStart"/>
      <w:r w:rsidRPr="00E81F28">
        <w:rPr>
          <w:rFonts w:ascii="Times New Roman" w:hAnsi="Times New Roman" w:cs="Times New Roman"/>
          <w:b/>
          <w:i/>
          <w:sz w:val="28"/>
          <w:szCs w:val="28"/>
          <w:lang w:val="it-IT"/>
        </w:rPr>
        <w:t>regulam</w:t>
      </w:r>
      <w:proofErr w:type="spellEnd"/>
      <w:r w:rsidRPr="00E81F28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 </w:t>
      </w:r>
      <w:proofErr w:type="spellStart"/>
      <w:r w:rsidRPr="00E81F28">
        <w:rPr>
          <w:rFonts w:ascii="Times New Roman" w:hAnsi="Times New Roman" w:cs="Times New Roman"/>
          <w:b/>
          <w:i/>
          <w:sz w:val="28"/>
          <w:szCs w:val="28"/>
          <w:lang w:val="it-IT"/>
        </w:rPr>
        <w:t>igitur</w:t>
      </w:r>
      <w:proofErr w:type="spellEnd"/>
      <w:r w:rsidRPr="00E81F28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 </w:t>
      </w:r>
      <w:proofErr w:type="spellStart"/>
      <w:r w:rsidRPr="00E81F28">
        <w:rPr>
          <w:rFonts w:ascii="Times New Roman" w:hAnsi="Times New Roman" w:cs="Times New Roman"/>
          <w:b/>
          <w:i/>
          <w:sz w:val="28"/>
          <w:szCs w:val="28"/>
          <w:lang w:val="it-IT"/>
        </w:rPr>
        <w:t>brevis</w:t>
      </w:r>
      <w:proofErr w:type="spellEnd"/>
      <w:r w:rsidRPr="00E81F28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 rerum </w:t>
      </w:r>
      <w:proofErr w:type="spellStart"/>
      <w:r w:rsidRPr="00E81F28">
        <w:rPr>
          <w:rFonts w:ascii="Times New Roman" w:hAnsi="Times New Roman" w:cs="Times New Roman"/>
          <w:b/>
          <w:i/>
          <w:sz w:val="28"/>
          <w:szCs w:val="28"/>
          <w:lang w:val="it-IT"/>
        </w:rPr>
        <w:t>narratio</w:t>
      </w:r>
      <w:proofErr w:type="spellEnd"/>
      <w:r w:rsidRPr="00E81F28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 </w:t>
      </w:r>
      <w:proofErr w:type="spellStart"/>
      <w:r w:rsidRPr="00E81F28">
        <w:rPr>
          <w:rFonts w:ascii="Times New Roman" w:hAnsi="Times New Roman" w:cs="Times New Roman"/>
          <w:b/>
          <w:i/>
          <w:sz w:val="28"/>
          <w:szCs w:val="28"/>
          <w:lang w:val="it-IT"/>
        </w:rPr>
        <w:t>traditur</w:t>
      </w:r>
      <w:proofErr w:type="spellEnd"/>
      <w:r w:rsidRPr="00E81F28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, et, ut </w:t>
      </w:r>
      <w:proofErr w:type="spellStart"/>
      <w:r w:rsidRPr="00E81F28">
        <w:rPr>
          <w:rFonts w:ascii="Times New Roman" w:hAnsi="Times New Roman" w:cs="Times New Roman"/>
          <w:b/>
          <w:i/>
          <w:sz w:val="28"/>
          <w:szCs w:val="28"/>
          <w:lang w:val="it-IT"/>
        </w:rPr>
        <w:t>ait</w:t>
      </w:r>
      <w:proofErr w:type="spellEnd"/>
      <w:r w:rsidRPr="00E81F28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 </w:t>
      </w:r>
      <w:proofErr w:type="spellStart"/>
      <w:r w:rsidRPr="00E81F28">
        <w:rPr>
          <w:rFonts w:ascii="Times New Roman" w:hAnsi="Times New Roman" w:cs="Times New Roman"/>
          <w:b/>
          <w:i/>
          <w:sz w:val="28"/>
          <w:szCs w:val="28"/>
          <w:lang w:val="it-IT"/>
        </w:rPr>
        <w:t>Sabinus</w:t>
      </w:r>
      <w:proofErr w:type="spellEnd"/>
      <w:r w:rsidRPr="00E81F28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, quasi </w:t>
      </w:r>
      <w:proofErr w:type="spellStart"/>
      <w:r w:rsidRPr="00E81F28">
        <w:rPr>
          <w:rFonts w:ascii="Times New Roman" w:hAnsi="Times New Roman" w:cs="Times New Roman"/>
          <w:b/>
          <w:i/>
          <w:sz w:val="28"/>
          <w:szCs w:val="28"/>
          <w:lang w:val="it-IT"/>
        </w:rPr>
        <w:t>causae</w:t>
      </w:r>
      <w:proofErr w:type="spellEnd"/>
      <w:r w:rsidRPr="00E81F28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 </w:t>
      </w:r>
      <w:proofErr w:type="spellStart"/>
      <w:r w:rsidRPr="00E81F28">
        <w:rPr>
          <w:rFonts w:ascii="Times New Roman" w:hAnsi="Times New Roman" w:cs="Times New Roman"/>
          <w:b/>
          <w:i/>
          <w:sz w:val="28"/>
          <w:szCs w:val="28"/>
          <w:lang w:val="it-IT"/>
        </w:rPr>
        <w:t>coniectio</w:t>
      </w:r>
      <w:proofErr w:type="spellEnd"/>
      <w:r w:rsidRPr="00E81F28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 est; </w:t>
      </w:r>
      <w:proofErr w:type="spellStart"/>
      <w:r w:rsidRPr="00E81F28">
        <w:rPr>
          <w:rFonts w:ascii="Times New Roman" w:hAnsi="Times New Roman" w:cs="Times New Roman"/>
          <w:b/>
          <w:i/>
          <w:sz w:val="28"/>
          <w:szCs w:val="28"/>
          <w:lang w:val="it-IT"/>
        </w:rPr>
        <w:t>quae</w:t>
      </w:r>
      <w:proofErr w:type="spellEnd"/>
      <w:r w:rsidRPr="00E81F28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 </w:t>
      </w:r>
      <w:proofErr w:type="spellStart"/>
      <w:r w:rsidRPr="00E81F28">
        <w:rPr>
          <w:rFonts w:ascii="Times New Roman" w:hAnsi="Times New Roman" w:cs="Times New Roman"/>
          <w:b/>
          <w:i/>
          <w:sz w:val="28"/>
          <w:szCs w:val="28"/>
          <w:lang w:val="it-IT"/>
        </w:rPr>
        <w:t>simul</w:t>
      </w:r>
      <w:proofErr w:type="spellEnd"/>
      <w:r w:rsidRPr="00E81F28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 </w:t>
      </w:r>
      <w:proofErr w:type="spellStart"/>
      <w:r w:rsidRPr="00E81F28">
        <w:rPr>
          <w:rFonts w:ascii="Times New Roman" w:hAnsi="Times New Roman" w:cs="Times New Roman"/>
          <w:b/>
          <w:i/>
          <w:sz w:val="28"/>
          <w:szCs w:val="28"/>
          <w:lang w:val="it-IT"/>
        </w:rPr>
        <w:t>cum</w:t>
      </w:r>
      <w:proofErr w:type="spellEnd"/>
      <w:r w:rsidRPr="00E81F28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 in </w:t>
      </w:r>
      <w:proofErr w:type="spellStart"/>
      <w:r w:rsidRPr="00E81F28">
        <w:rPr>
          <w:rFonts w:ascii="Times New Roman" w:hAnsi="Times New Roman" w:cs="Times New Roman"/>
          <w:b/>
          <w:i/>
          <w:sz w:val="28"/>
          <w:szCs w:val="28"/>
          <w:lang w:val="it-IT"/>
        </w:rPr>
        <w:t>aliquo</w:t>
      </w:r>
      <w:proofErr w:type="spellEnd"/>
      <w:r w:rsidRPr="00E81F28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 </w:t>
      </w:r>
      <w:proofErr w:type="spellStart"/>
      <w:r w:rsidRPr="00E81F28">
        <w:rPr>
          <w:rFonts w:ascii="Times New Roman" w:hAnsi="Times New Roman" w:cs="Times New Roman"/>
          <w:b/>
          <w:i/>
          <w:sz w:val="28"/>
          <w:szCs w:val="28"/>
          <w:lang w:val="it-IT"/>
        </w:rPr>
        <w:t>vitiata</w:t>
      </w:r>
      <w:proofErr w:type="spellEnd"/>
      <w:r w:rsidRPr="00E81F28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 est, </w:t>
      </w:r>
      <w:proofErr w:type="spellStart"/>
      <w:r w:rsidRPr="00E81F28">
        <w:rPr>
          <w:rFonts w:ascii="Times New Roman" w:hAnsi="Times New Roman" w:cs="Times New Roman"/>
          <w:b/>
          <w:i/>
          <w:sz w:val="28"/>
          <w:szCs w:val="28"/>
          <w:lang w:val="it-IT"/>
        </w:rPr>
        <w:t>perdit</w:t>
      </w:r>
      <w:proofErr w:type="spellEnd"/>
      <w:r w:rsidRPr="00E81F28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 </w:t>
      </w:r>
      <w:proofErr w:type="spellStart"/>
      <w:r w:rsidRPr="00E81F28">
        <w:rPr>
          <w:rFonts w:ascii="Times New Roman" w:hAnsi="Times New Roman" w:cs="Times New Roman"/>
          <w:b/>
          <w:i/>
          <w:sz w:val="28"/>
          <w:szCs w:val="28"/>
          <w:lang w:val="it-IT"/>
        </w:rPr>
        <w:t>officium</w:t>
      </w:r>
      <w:proofErr w:type="spellEnd"/>
      <w:r w:rsidRPr="00E81F28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 </w:t>
      </w:r>
      <w:proofErr w:type="spellStart"/>
      <w:r w:rsidRPr="00E81F28">
        <w:rPr>
          <w:rFonts w:ascii="Times New Roman" w:hAnsi="Times New Roman" w:cs="Times New Roman"/>
          <w:b/>
          <w:i/>
          <w:sz w:val="28"/>
          <w:szCs w:val="28"/>
          <w:lang w:val="it-IT"/>
        </w:rPr>
        <w:t>suum</w:t>
      </w:r>
      <w:proofErr w:type="spellEnd"/>
      <w:r w:rsidRPr="00E81F28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14:paraId="3B5A0089" w14:textId="4575D612" w:rsidR="00B461A5" w:rsidRPr="00BC23E2" w:rsidRDefault="00B461A5" w:rsidP="00B461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</w:pPr>
      <w:r w:rsidRPr="00BC23E2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  <w:t xml:space="preserve">Paolo nel libro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  <w:t>sedicesimo</w:t>
      </w:r>
      <w:r w:rsidRPr="00BC23E2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  <w:t xml:space="preserve"> a </w:t>
      </w:r>
      <w:proofErr w:type="spellStart"/>
      <w:r w:rsidRPr="00BC23E2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  <w:t>Plauzio</w:t>
      </w:r>
      <w:proofErr w:type="spellEnd"/>
    </w:p>
    <w:p w14:paraId="5C88B741" w14:textId="77777777" w:rsidR="00B461A5" w:rsidRDefault="00B461A5" w:rsidP="00F245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</w:pPr>
    </w:p>
    <w:p w14:paraId="5F4F01F0" w14:textId="4CA9AEAA" w:rsidR="00F245C1" w:rsidRPr="00B461A5" w:rsidRDefault="008A17C6" w:rsidP="00B461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</w:pPr>
      <w:r w:rsidRPr="00B461A5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  <w:t>La regola è quella la quale brevemente espone la cosa com’è: non affinché dalla reg</w:t>
      </w:r>
      <w:r w:rsidR="00B461A5" w:rsidRPr="00B461A5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en-GB"/>
        </w:rPr>
        <w:t>ola si deduca il diritto, ma dal diritto che è si stabilisca la regola. Per regola adunque s’intende una breve narrazione delle cose. E, come dice Sabino, è quasi l’argomento ristretto della causa, il quale se viene in qualche parte viziato, perde la sua forma ed autorità.</w:t>
      </w:r>
    </w:p>
    <w:p w14:paraId="750A3C1C" w14:textId="47C82D9E" w:rsidR="00F245C1" w:rsidRDefault="00F245C1" w:rsidP="00F245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  <w:t>Bibliografia</w:t>
      </w:r>
    </w:p>
    <w:p w14:paraId="0E86447D" w14:textId="77777777" w:rsidR="00AE07D5" w:rsidRPr="00BA0C1B" w:rsidRDefault="00AE07D5" w:rsidP="00AE07D5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en-GB"/>
        </w:rPr>
      </w:pPr>
      <w:proofErr w:type="spellStart"/>
      <w:r w:rsidRPr="00BA0C1B"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en-GB"/>
        </w:rPr>
        <w:t>Corbino</w:t>
      </w:r>
      <w:proofErr w:type="spellEnd"/>
      <w:r w:rsidRPr="00BA0C1B"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en-GB"/>
        </w:rPr>
        <w:t xml:space="preserve">, </w:t>
      </w:r>
      <w:r w:rsidRPr="00BA0C1B">
        <w:rPr>
          <w:rFonts w:ascii="Times New Roman" w:hAnsi="Times New Roman" w:cs="Times New Roman"/>
          <w:sz w:val="28"/>
          <w:szCs w:val="28"/>
          <w:lang w:val="it-IT"/>
        </w:rPr>
        <w:t xml:space="preserve">Caso, diritto e </w:t>
      </w:r>
      <w:proofErr w:type="spellStart"/>
      <w:r w:rsidRPr="00BA0C1B">
        <w:rPr>
          <w:rFonts w:ascii="Times New Roman" w:hAnsi="Times New Roman" w:cs="Times New Roman"/>
          <w:sz w:val="28"/>
          <w:szCs w:val="28"/>
          <w:lang w:val="it-IT"/>
        </w:rPr>
        <w:t>regula</w:t>
      </w:r>
      <w:proofErr w:type="spellEnd"/>
      <w:r w:rsidRPr="00BA0C1B">
        <w:rPr>
          <w:rFonts w:ascii="Times New Roman" w:hAnsi="Times New Roman" w:cs="Times New Roman"/>
          <w:sz w:val="28"/>
          <w:szCs w:val="28"/>
          <w:lang w:val="it-IT"/>
        </w:rPr>
        <w:t xml:space="preserve">. Limiti della funzione normativa del caso </w:t>
      </w:r>
    </w:p>
    <w:p w14:paraId="4FFE1E2A" w14:textId="77777777" w:rsidR="00AE07D5" w:rsidRPr="00BA0C1B" w:rsidRDefault="00AE07D5" w:rsidP="00AE07D5">
      <w:pPr>
        <w:pStyle w:val="Paragrafoelenco"/>
        <w:spacing w:after="0" w:line="240" w:lineRule="auto"/>
        <w:ind w:left="1440"/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en-GB"/>
        </w:rPr>
      </w:pPr>
      <w:r w:rsidRPr="00BA0C1B">
        <w:rPr>
          <w:rFonts w:ascii="Times New Roman" w:hAnsi="Times New Roman" w:cs="Times New Roman"/>
          <w:sz w:val="28"/>
          <w:szCs w:val="28"/>
          <w:lang w:val="it-IT"/>
        </w:rPr>
        <w:t>deciso nella visione romana</w:t>
      </w:r>
      <w:r>
        <w:rPr>
          <w:rFonts w:ascii="Times New Roman" w:hAnsi="Times New Roman" w:cs="Times New Roman"/>
          <w:sz w:val="28"/>
          <w:szCs w:val="28"/>
          <w:lang w:val="it-IT"/>
        </w:rPr>
        <w:t>, Rida 2014</w:t>
      </w:r>
    </w:p>
    <w:p w14:paraId="62D81848" w14:textId="77777777" w:rsidR="00AE07D5" w:rsidRPr="00BA0C1B" w:rsidRDefault="00AE07D5" w:rsidP="00AE07D5">
      <w:pPr>
        <w:pStyle w:val="Paragrafoelenco"/>
        <w:spacing w:after="0" w:line="240" w:lineRule="auto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en-GB"/>
        </w:rPr>
      </w:pPr>
      <w:hyperlink r:id="rId5" w:history="1">
        <w:r w:rsidRPr="00BA0C1B">
          <w:rPr>
            <w:rStyle w:val="Collegamentoipertestuale"/>
            <w:rFonts w:ascii="Times New Roman" w:eastAsia="Times New Roman" w:hAnsi="Times New Roman" w:cs="Times New Roman"/>
            <w:sz w:val="28"/>
            <w:szCs w:val="28"/>
            <w:lang w:val="it-IT" w:eastAsia="en-GB"/>
          </w:rPr>
          <w:t>http://local.droit.ulg.ac.be/sa/rida/file/2014/03.ACorbino.pdf</w:t>
        </w:r>
      </w:hyperlink>
    </w:p>
    <w:p w14:paraId="172878FF" w14:textId="77777777" w:rsidR="00AE07D5" w:rsidRPr="00BA0C1B" w:rsidRDefault="00AE07D5" w:rsidP="00AE07D5">
      <w:pPr>
        <w:pStyle w:val="Paragrafoelenco"/>
        <w:spacing w:after="0" w:line="240" w:lineRule="auto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en-GB"/>
        </w:rPr>
      </w:pPr>
    </w:p>
    <w:p w14:paraId="3D222B8E" w14:textId="77777777" w:rsidR="00AE07D5" w:rsidRDefault="00AE07D5" w:rsidP="00AE07D5">
      <w:pPr>
        <w:pStyle w:val="Paragrafoelenco"/>
        <w:spacing w:after="0" w:line="240" w:lineRule="auto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en-GB"/>
        </w:rPr>
      </w:pPr>
      <w:r w:rsidRPr="00BA0C1B"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en-GB"/>
        </w:rPr>
        <w:t xml:space="preserve">Ignazio Buti, Brevi note sulla </w:t>
      </w:r>
      <w:proofErr w:type="spellStart"/>
      <w:r w:rsidRPr="00BA0C1B"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en-GB"/>
        </w:rPr>
        <w:t>regula</w:t>
      </w:r>
      <w:proofErr w:type="spellEnd"/>
      <w:r w:rsidRPr="00BA0C1B"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en-GB"/>
        </w:rPr>
        <w:t xml:space="preserve"> Catoniana (a proposito di Gai 2.224)</w:t>
      </w:r>
    </w:p>
    <w:p w14:paraId="568BA0CD" w14:textId="77777777" w:rsidR="00AE07D5" w:rsidRDefault="00AE07D5" w:rsidP="00AE07D5">
      <w:pPr>
        <w:pStyle w:val="Paragrafoelenco"/>
        <w:spacing w:after="0" w:line="240" w:lineRule="auto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en-GB"/>
        </w:rPr>
      </w:pPr>
    </w:p>
    <w:p w14:paraId="4A6A08E2" w14:textId="62EDC42B" w:rsidR="00AE07D5" w:rsidRPr="00AE07D5" w:rsidRDefault="00AE07D5" w:rsidP="00AE07D5">
      <w:pPr>
        <w:pStyle w:val="Paragrafoelenco"/>
        <w:spacing w:after="0" w:line="240" w:lineRule="auto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en-GB"/>
        </w:rPr>
      </w:pPr>
      <w:r w:rsidRPr="00AE07D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 w:val="it-IT"/>
        </w:rPr>
        <w:t>C.A. CANNATA, Non </w:t>
      </w:r>
      <w:r w:rsidRPr="00AE07D5">
        <w:rPr>
          <w:rStyle w:val="Enfasicorsivo"/>
          <w:rFonts w:ascii="Times New Roman" w:hAnsi="Times New Roman" w:cs="Times New Roman"/>
          <w:b/>
          <w:bCs/>
          <w:color w:val="5F6368"/>
          <w:sz w:val="24"/>
          <w:szCs w:val="24"/>
          <w:shd w:val="clear" w:color="auto" w:fill="FFFFFF"/>
          <w:lang w:val="it-IT"/>
        </w:rPr>
        <w:t xml:space="preserve">ex </w:t>
      </w:r>
      <w:proofErr w:type="spellStart"/>
      <w:r w:rsidRPr="00AE07D5">
        <w:rPr>
          <w:rStyle w:val="Enfasicorsivo"/>
          <w:rFonts w:ascii="Times New Roman" w:hAnsi="Times New Roman" w:cs="Times New Roman"/>
          <w:b/>
          <w:bCs/>
          <w:color w:val="5F6368"/>
          <w:sz w:val="24"/>
          <w:szCs w:val="24"/>
          <w:shd w:val="clear" w:color="auto" w:fill="FFFFFF"/>
          <w:lang w:val="it-IT"/>
        </w:rPr>
        <w:t>regula</w:t>
      </w:r>
      <w:proofErr w:type="spellEnd"/>
      <w:r w:rsidRPr="00AE07D5">
        <w:rPr>
          <w:rStyle w:val="Enfasicorsivo"/>
          <w:rFonts w:ascii="Times New Roman" w:hAnsi="Times New Roman" w:cs="Times New Roman"/>
          <w:b/>
          <w:bCs/>
          <w:color w:val="5F6368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Pr="00AE07D5">
        <w:rPr>
          <w:rStyle w:val="Enfasicorsivo"/>
          <w:rFonts w:ascii="Times New Roman" w:hAnsi="Times New Roman" w:cs="Times New Roman"/>
          <w:b/>
          <w:bCs/>
          <w:color w:val="5F6368"/>
          <w:sz w:val="24"/>
          <w:szCs w:val="24"/>
          <w:shd w:val="clear" w:color="auto" w:fill="FFFFFF"/>
          <w:lang w:val="it-IT"/>
        </w:rPr>
        <w:t>ius</w:t>
      </w:r>
      <w:proofErr w:type="spellEnd"/>
      <w:r w:rsidRPr="00AE07D5">
        <w:rPr>
          <w:rStyle w:val="Enfasicorsivo"/>
          <w:rFonts w:ascii="Times New Roman" w:hAnsi="Times New Roman" w:cs="Times New Roman"/>
          <w:b/>
          <w:bCs/>
          <w:color w:val="5F6368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Pr="00AE07D5">
        <w:rPr>
          <w:rStyle w:val="Enfasicorsivo"/>
          <w:rFonts w:ascii="Times New Roman" w:hAnsi="Times New Roman" w:cs="Times New Roman"/>
          <w:b/>
          <w:bCs/>
          <w:color w:val="5F6368"/>
          <w:sz w:val="24"/>
          <w:szCs w:val="24"/>
          <w:shd w:val="clear" w:color="auto" w:fill="FFFFFF"/>
          <w:lang w:val="it-IT"/>
        </w:rPr>
        <w:t>sumatur</w:t>
      </w:r>
      <w:proofErr w:type="spellEnd"/>
      <w:r w:rsidRPr="00AE07D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 w:val="it-IT"/>
        </w:rPr>
        <w:t>, </w:t>
      </w:r>
      <w:proofErr w:type="spellStart"/>
      <w:r w:rsidRPr="00AE07D5">
        <w:rPr>
          <w:rStyle w:val="Enfasicorsivo"/>
          <w:rFonts w:ascii="Times New Roman" w:hAnsi="Times New Roman" w:cs="Times New Roman"/>
          <w:b/>
          <w:bCs/>
          <w:color w:val="5F6368"/>
          <w:sz w:val="24"/>
          <w:szCs w:val="24"/>
          <w:shd w:val="clear" w:color="auto" w:fill="FFFFFF"/>
          <w:lang w:val="it-IT"/>
        </w:rPr>
        <w:t>sed</w:t>
      </w:r>
      <w:proofErr w:type="spellEnd"/>
      <w:r w:rsidRPr="00AE07D5">
        <w:rPr>
          <w:rStyle w:val="Enfasicorsivo"/>
          <w:rFonts w:ascii="Times New Roman" w:hAnsi="Times New Roman" w:cs="Times New Roman"/>
          <w:b/>
          <w:bCs/>
          <w:color w:val="5F6368"/>
          <w:sz w:val="24"/>
          <w:szCs w:val="24"/>
          <w:shd w:val="clear" w:color="auto" w:fill="FFFFFF"/>
          <w:lang w:val="it-IT"/>
        </w:rPr>
        <w:t xml:space="preserve"> ex iure </w:t>
      </w:r>
      <w:proofErr w:type="spellStart"/>
      <w:r w:rsidRPr="00AE07D5">
        <w:rPr>
          <w:rStyle w:val="Enfasicorsivo"/>
          <w:rFonts w:ascii="Times New Roman" w:hAnsi="Times New Roman" w:cs="Times New Roman"/>
          <w:b/>
          <w:bCs/>
          <w:color w:val="5F6368"/>
          <w:sz w:val="24"/>
          <w:szCs w:val="24"/>
          <w:shd w:val="clear" w:color="auto" w:fill="FFFFFF"/>
          <w:lang w:val="it-IT"/>
        </w:rPr>
        <w:t>quod</w:t>
      </w:r>
      <w:proofErr w:type="spellEnd"/>
      <w:r w:rsidRPr="00AE07D5">
        <w:rPr>
          <w:rStyle w:val="Enfasicorsivo"/>
          <w:rFonts w:ascii="Times New Roman" w:hAnsi="Times New Roman" w:cs="Times New Roman"/>
          <w:b/>
          <w:bCs/>
          <w:color w:val="5F6368"/>
          <w:sz w:val="24"/>
          <w:szCs w:val="24"/>
          <w:shd w:val="clear" w:color="auto" w:fill="FFFFFF"/>
          <w:lang w:val="it-IT"/>
        </w:rPr>
        <w:t xml:space="preserve"> est </w:t>
      </w:r>
      <w:proofErr w:type="spellStart"/>
      <w:r w:rsidRPr="00AE07D5">
        <w:rPr>
          <w:rStyle w:val="Enfasicorsivo"/>
          <w:rFonts w:ascii="Times New Roman" w:hAnsi="Times New Roman" w:cs="Times New Roman"/>
          <w:b/>
          <w:bCs/>
          <w:color w:val="5F6368"/>
          <w:sz w:val="24"/>
          <w:szCs w:val="24"/>
          <w:shd w:val="clear" w:color="auto" w:fill="FFFFFF"/>
          <w:lang w:val="it-IT"/>
        </w:rPr>
        <w:t>regula</w:t>
      </w:r>
      <w:proofErr w:type="spellEnd"/>
      <w:r w:rsidRPr="00AE07D5">
        <w:rPr>
          <w:rStyle w:val="Enfasicorsivo"/>
          <w:rFonts w:ascii="Times New Roman" w:hAnsi="Times New Roman" w:cs="Times New Roman"/>
          <w:b/>
          <w:bCs/>
          <w:color w:val="5F6368"/>
          <w:sz w:val="24"/>
          <w:szCs w:val="24"/>
          <w:shd w:val="clear" w:color="auto" w:fill="FFFFFF"/>
          <w:lang w:val="it-IT"/>
        </w:rPr>
        <w:t xml:space="preserve"> fiat</w:t>
      </w:r>
      <w:r w:rsidRPr="00AE07D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 w:val="it-IT"/>
        </w:rPr>
        <w:t>: alcune osservazioni su di un passo del Digesto (Paul. D. 50, 17, 1), in </w:t>
      </w:r>
      <w:proofErr w:type="spellStart"/>
      <w:r w:rsidRPr="00AE07D5">
        <w:rPr>
          <w:rFonts w:ascii="Times New Roman" w:eastAsia="Times New Roman" w:hAnsi="Times New Roman" w:cs="Times New Roman"/>
          <w:b/>
          <w:bCs/>
          <w:color w:val="5F6368"/>
          <w:sz w:val="24"/>
          <w:szCs w:val="24"/>
          <w:lang w:val="it-IT" w:eastAsia="en-GB"/>
        </w:rPr>
        <w:t>Nomen</w:t>
      </w:r>
      <w:proofErr w:type="spellEnd"/>
      <w:r w:rsidRPr="00AE07D5">
        <w:rPr>
          <w:rFonts w:ascii="Times New Roman" w:eastAsia="Times New Roman" w:hAnsi="Times New Roman" w:cs="Times New Roman"/>
          <w:b/>
          <w:bCs/>
          <w:color w:val="5F6368"/>
          <w:sz w:val="24"/>
          <w:szCs w:val="24"/>
          <w:lang w:val="it-IT" w:eastAsia="en-GB"/>
        </w:rPr>
        <w:t xml:space="preserve"> </w:t>
      </w:r>
      <w:proofErr w:type="spellStart"/>
      <w:proofErr w:type="gramStart"/>
      <w:r w:rsidRPr="00AE07D5">
        <w:rPr>
          <w:rFonts w:ascii="Times New Roman" w:eastAsia="Times New Roman" w:hAnsi="Times New Roman" w:cs="Times New Roman"/>
          <w:b/>
          <w:bCs/>
          <w:color w:val="5F6368"/>
          <w:sz w:val="24"/>
          <w:szCs w:val="24"/>
          <w:lang w:val="it-IT" w:eastAsia="en-GB"/>
        </w:rPr>
        <w:t>Latinum</w:t>
      </w:r>
      <w:proofErr w:type="spellEnd"/>
      <w:r w:rsidRPr="00AE07D5">
        <w:rPr>
          <w:rFonts w:ascii="Times New Roman" w:eastAsia="Times New Roman" w:hAnsi="Times New Roman" w:cs="Times New Roman"/>
          <w:color w:val="4D5156"/>
          <w:sz w:val="24"/>
          <w:szCs w:val="24"/>
          <w:lang w:val="it-IT" w:eastAsia="en-GB"/>
        </w:rPr>
        <w:t> :</w:t>
      </w:r>
      <w:proofErr w:type="gramEnd"/>
      <w:r w:rsidRPr="00AE07D5">
        <w:rPr>
          <w:rFonts w:ascii="Times New Roman" w:eastAsia="Times New Roman" w:hAnsi="Times New Roman" w:cs="Times New Roman"/>
          <w:color w:val="4D5156"/>
          <w:sz w:val="24"/>
          <w:szCs w:val="24"/>
          <w:lang w:val="it-IT" w:eastAsia="en-GB"/>
        </w:rPr>
        <w:t> </w:t>
      </w:r>
      <w:r w:rsidRPr="00AE07D5">
        <w:rPr>
          <w:rFonts w:ascii="Times New Roman" w:eastAsia="Times New Roman" w:hAnsi="Times New Roman" w:cs="Times New Roman"/>
          <w:b/>
          <w:bCs/>
          <w:color w:val="5F6368"/>
          <w:sz w:val="24"/>
          <w:szCs w:val="24"/>
          <w:lang w:val="it-IT" w:eastAsia="en-GB"/>
        </w:rPr>
        <w:t>mélanges</w:t>
      </w:r>
      <w:r w:rsidRPr="00AE07D5">
        <w:rPr>
          <w:rFonts w:ascii="Times New Roman" w:eastAsia="Times New Roman" w:hAnsi="Times New Roman" w:cs="Times New Roman"/>
          <w:color w:val="4D5156"/>
          <w:sz w:val="24"/>
          <w:szCs w:val="24"/>
          <w:lang w:val="it-IT" w:eastAsia="en-GB"/>
        </w:rPr>
        <w:t xml:space="preserve"> de langue, de </w:t>
      </w:r>
      <w:proofErr w:type="spellStart"/>
      <w:r w:rsidRPr="00AE07D5">
        <w:rPr>
          <w:rFonts w:ascii="Times New Roman" w:eastAsia="Times New Roman" w:hAnsi="Times New Roman" w:cs="Times New Roman"/>
          <w:color w:val="4D5156"/>
          <w:sz w:val="24"/>
          <w:szCs w:val="24"/>
          <w:lang w:val="it-IT" w:eastAsia="en-GB"/>
        </w:rPr>
        <w:t>littérature</w:t>
      </w:r>
      <w:proofErr w:type="spellEnd"/>
      <w:r w:rsidRPr="00AE07D5">
        <w:rPr>
          <w:rFonts w:ascii="Times New Roman" w:eastAsia="Times New Roman" w:hAnsi="Times New Roman" w:cs="Times New Roman"/>
          <w:color w:val="4D5156"/>
          <w:sz w:val="24"/>
          <w:szCs w:val="24"/>
          <w:lang w:val="it-IT" w:eastAsia="en-GB"/>
        </w:rPr>
        <w:t xml:space="preserve"> et de </w:t>
      </w:r>
      <w:proofErr w:type="spellStart"/>
      <w:r w:rsidRPr="00AE07D5">
        <w:rPr>
          <w:rFonts w:ascii="Times New Roman" w:eastAsia="Times New Roman" w:hAnsi="Times New Roman" w:cs="Times New Roman"/>
          <w:color w:val="4D5156"/>
          <w:sz w:val="24"/>
          <w:szCs w:val="24"/>
          <w:lang w:val="it-IT" w:eastAsia="en-GB"/>
        </w:rPr>
        <w:t>civilisation</w:t>
      </w:r>
      <w:proofErr w:type="spellEnd"/>
      <w:r w:rsidRPr="00AE07D5">
        <w:rPr>
          <w:rFonts w:ascii="Times New Roman" w:eastAsia="Times New Roman" w:hAnsi="Times New Roman" w:cs="Times New Roman"/>
          <w:color w:val="4D5156"/>
          <w:sz w:val="24"/>
          <w:szCs w:val="24"/>
          <w:lang w:val="it-IT" w:eastAsia="en-GB"/>
        </w:rPr>
        <w:t xml:space="preserve"> </w:t>
      </w:r>
      <w:proofErr w:type="spellStart"/>
      <w:r w:rsidRPr="00AE07D5">
        <w:rPr>
          <w:rFonts w:ascii="Times New Roman" w:eastAsia="Times New Roman" w:hAnsi="Times New Roman" w:cs="Times New Roman"/>
          <w:color w:val="4D5156"/>
          <w:sz w:val="24"/>
          <w:szCs w:val="24"/>
          <w:lang w:val="it-IT" w:eastAsia="en-GB"/>
        </w:rPr>
        <w:t>latines</w:t>
      </w:r>
      <w:proofErr w:type="spellEnd"/>
      <w:r w:rsidRPr="00AE07D5">
        <w:rPr>
          <w:rFonts w:ascii="Times New Roman" w:eastAsia="Times New Roman" w:hAnsi="Times New Roman" w:cs="Times New Roman"/>
          <w:color w:val="4D5156"/>
          <w:sz w:val="24"/>
          <w:szCs w:val="24"/>
          <w:lang w:val="it-IT" w:eastAsia="en-GB"/>
        </w:rPr>
        <w:t xml:space="preserve"> : </w:t>
      </w:r>
      <w:proofErr w:type="spellStart"/>
      <w:r w:rsidRPr="00AE07D5">
        <w:rPr>
          <w:rFonts w:ascii="Times New Roman" w:eastAsia="Times New Roman" w:hAnsi="Times New Roman" w:cs="Times New Roman"/>
          <w:color w:val="4D5156"/>
          <w:sz w:val="24"/>
          <w:szCs w:val="24"/>
          <w:lang w:val="it-IT" w:eastAsia="en-GB"/>
        </w:rPr>
        <w:t>offerts</w:t>
      </w:r>
      <w:proofErr w:type="spellEnd"/>
      <w:r w:rsidRPr="00AE07D5">
        <w:rPr>
          <w:rFonts w:ascii="Times New Roman" w:eastAsia="Times New Roman" w:hAnsi="Times New Roman" w:cs="Times New Roman"/>
          <w:color w:val="4D5156"/>
          <w:sz w:val="24"/>
          <w:szCs w:val="24"/>
          <w:lang w:val="it-IT" w:eastAsia="en-GB"/>
        </w:rPr>
        <w:t xml:space="preserve"> </w:t>
      </w:r>
      <w:proofErr w:type="spellStart"/>
      <w:r w:rsidRPr="00AE07D5">
        <w:rPr>
          <w:rFonts w:ascii="Times New Roman" w:eastAsia="Times New Roman" w:hAnsi="Times New Roman" w:cs="Times New Roman"/>
          <w:color w:val="4D5156"/>
          <w:sz w:val="24"/>
          <w:szCs w:val="24"/>
          <w:lang w:val="it-IT" w:eastAsia="en-GB"/>
        </w:rPr>
        <w:t>au</w:t>
      </w:r>
      <w:proofErr w:type="spellEnd"/>
      <w:r w:rsidRPr="00AE07D5">
        <w:rPr>
          <w:rFonts w:ascii="Times New Roman" w:eastAsia="Times New Roman" w:hAnsi="Times New Roman" w:cs="Times New Roman"/>
          <w:color w:val="4D5156"/>
          <w:sz w:val="24"/>
          <w:szCs w:val="24"/>
          <w:lang w:val="it-IT" w:eastAsia="en-GB"/>
        </w:rPr>
        <w:t xml:space="preserve"> ... </w:t>
      </w:r>
      <w:proofErr w:type="spellStart"/>
      <w:r w:rsidRPr="00AE07D5">
        <w:rPr>
          <w:rFonts w:ascii="Times New Roman" w:eastAsia="Times New Roman" w:hAnsi="Times New Roman" w:cs="Times New Roman"/>
          <w:color w:val="4D5156"/>
          <w:sz w:val="24"/>
          <w:szCs w:val="24"/>
          <w:lang w:eastAsia="en-GB"/>
        </w:rPr>
        <w:t>Geneve</w:t>
      </w:r>
      <w:proofErr w:type="spellEnd"/>
      <w:r w:rsidRPr="00AE07D5">
        <w:rPr>
          <w:rFonts w:ascii="Times New Roman" w:eastAsia="Times New Roman" w:hAnsi="Times New Roman" w:cs="Times New Roman"/>
          <w:color w:val="4D5156"/>
          <w:sz w:val="24"/>
          <w:szCs w:val="24"/>
          <w:lang w:eastAsia="en-GB"/>
        </w:rPr>
        <w:t xml:space="preserve"> 1997</w:t>
      </w:r>
    </w:p>
    <w:p w14:paraId="42E4464E" w14:textId="77777777" w:rsidR="00AE07D5" w:rsidRPr="00AE07D5" w:rsidRDefault="00AE07D5" w:rsidP="00F245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</w:pPr>
    </w:p>
    <w:p w14:paraId="24B0FBE7" w14:textId="77777777" w:rsidR="00F245C1" w:rsidRPr="00AE07D5" w:rsidRDefault="00621AF6" w:rsidP="00F245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</w:pPr>
      <w:hyperlink r:id="rId6" w:history="1">
        <w:r w:rsidR="00F245C1" w:rsidRPr="00AE07D5">
          <w:rPr>
            <w:rStyle w:val="Collegamentoipertestuale"/>
            <w:rFonts w:ascii="Times New Roman" w:eastAsia="Times New Roman" w:hAnsi="Times New Roman" w:cs="Times New Roman"/>
            <w:b/>
            <w:bCs/>
            <w:sz w:val="27"/>
            <w:szCs w:val="27"/>
            <w:lang w:eastAsia="en-GB"/>
          </w:rPr>
          <w:t>http://www.antonioguarino.it/wp-content/uploads/2016/12/Pagine-di-diritto-romano-V-La-giurisprudenza-e-i-giuristi-Giavoleno-e-le-definizioni.pdf</w:t>
        </w:r>
      </w:hyperlink>
    </w:p>
    <w:p w14:paraId="34BC9EF7" w14:textId="77777777" w:rsidR="00F245C1" w:rsidRPr="00AE07D5" w:rsidRDefault="00F245C1" w:rsidP="00F245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</w:pPr>
    </w:p>
    <w:p w14:paraId="432B3F99" w14:textId="010DBD47" w:rsidR="00F245C1" w:rsidRDefault="00621AF6" w:rsidP="00F245C1">
      <w:pPr>
        <w:shd w:val="clear" w:color="auto" w:fill="FFFFFF"/>
        <w:spacing w:before="100" w:beforeAutospacing="1" w:after="100" w:afterAutospacing="1" w:line="240" w:lineRule="auto"/>
        <w:rPr>
          <w:rStyle w:val="Collegamentoipertestuale"/>
          <w:rFonts w:ascii="Times New Roman" w:eastAsia="Times New Roman" w:hAnsi="Times New Roman" w:cs="Times New Roman"/>
          <w:b/>
          <w:bCs/>
          <w:sz w:val="27"/>
          <w:szCs w:val="27"/>
          <w:lang w:val="it-IT" w:eastAsia="en-GB"/>
        </w:rPr>
      </w:pPr>
      <w:hyperlink r:id="rId7" w:history="1">
        <w:r w:rsidR="00F245C1" w:rsidRPr="009F54FC">
          <w:rPr>
            <w:rStyle w:val="Collegamentoipertestuale"/>
            <w:rFonts w:ascii="Times New Roman" w:eastAsia="Times New Roman" w:hAnsi="Times New Roman" w:cs="Times New Roman"/>
            <w:b/>
            <w:bCs/>
            <w:sz w:val="27"/>
            <w:szCs w:val="27"/>
            <w:lang w:val="it-IT" w:eastAsia="en-GB"/>
          </w:rPr>
          <w:t>http://www.antonioguarino.it/wp-content/uploads/2016/12/Pagine-di-diritto-romano-V-La-giurisprudenza-e-i-giuristi-Catone-giureconsulto.pdf</w:t>
        </w:r>
      </w:hyperlink>
    </w:p>
    <w:tbl>
      <w:tblPr>
        <w:tblW w:w="15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34"/>
        <w:gridCol w:w="3186"/>
      </w:tblGrid>
      <w:tr w:rsidR="00BA0C1B" w:rsidRPr="00AE07D5" w14:paraId="069BFFF8" w14:textId="77777777" w:rsidTr="00BA0C1B">
        <w:trPr>
          <w:gridAfter w:val="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3226359D" w14:textId="77777777" w:rsidR="00BA0C1B" w:rsidRDefault="00BA0C1B" w:rsidP="00BA0C1B">
            <w:pPr>
              <w:pStyle w:val="Paragrafoelenco"/>
              <w:spacing w:after="0" w:line="240" w:lineRule="auto"/>
              <w:ind w:left="1080"/>
              <w:rPr>
                <w:rFonts w:ascii="Arial" w:eastAsia="Times New Roman" w:hAnsi="Arial" w:cs="Arial"/>
                <w:color w:val="333333"/>
                <w:sz w:val="18"/>
                <w:szCs w:val="18"/>
                <w:lang w:val="it-IT" w:eastAsia="en-GB"/>
              </w:rPr>
            </w:pPr>
          </w:p>
          <w:p w14:paraId="14F621CC" w14:textId="77777777" w:rsidR="00BA0C1B" w:rsidRDefault="00BA0C1B" w:rsidP="00BA0C1B">
            <w:pPr>
              <w:pStyle w:val="Paragrafoelenco"/>
              <w:spacing w:after="0" w:line="240" w:lineRule="auto"/>
              <w:ind w:left="1080"/>
              <w:rPr>
                <w:rFonts w:ascii="Arial" w:eastAsia="Times New Roman" w:hAnsi="Arial" w:cs="Arial"/>
                <w:color w:val="333333"/>
                <w:sz w:val="18"/>
                <w:szCs w:val="18"/>
                <w:lang w:val="it-IT" w:eastAsia="en-GB"/>
              </w:rPr>
            </w:pPr>
          </w:p>
          <w:p w14:paraId="064E583E" w14:textId="28DEA239" w:rsidR="00BA0C1B" w:rsidRPr="00BA0C1B" w:rsidRDefault="00BA0C1B" w:rsidP="00BA0C1B">
            <w:pPr>
              <w:pStyle w:val="Paragrafoelenco"/>
              <w:spacing w:after="0" w:line="240" w:lineRule="auto"/>
              <w:ind w:left="1080"/>
              <w:rPr>
                <w:rFonts w:ascii="Arial" w:eastAsia="Times New Roman" w:hAnsi="Arial" w:cs="Arial"/>
                <w:color w:val="333333"/>
                <w:sz w:val="18"/>
                <w:szCs w:val="18"/>
                <w:lang w:val="it-IT" w:eastAsia="en-GB"/>
              </w:rPr>
            </w:pPr>
          </w:p>
        </w:tc>
      </w:tr>
      <w:tr w:rsidR="00BA0C1B" w:rsidRPr="00BA0C1B" w14:paraId="480EB491" w14:textId="77777777" w:rsidTr="00AE07D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</w:tcPr>
          <w:p w14:paraId="29B77E79" w14:textId="2F29FF3D" w:rsidR="00BA0C1B" w:rsidRPr="00BA0C1B" w:rsidRDefault="00BA0C1B" w:rsidP="00BA0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it-IT"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</w:tcPr>
          <w:p w14:paraId="7F7BB654" w14:textId="45A4C9FD" w:rsidR="00BA0C1B" w:rsidRPr="00BA0C1B" w:rsidRDefault="00BA0C1B" w:rsidP="00BA0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</w:tr>
    </w:tbl>
    <w:p w14:paraId="0722F8A1" w14:textId="77777777" w:rsidR="00BA0C1B" w:rsidRDefault="00BA0C1B" w:rsidP="00F245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</w:pPr>
    </w:p>
    <w:p w14:paraId="6D33B090" w14:textId="77777777" w:rsidR="00F245C1" w:rsidRPr="00F245C1" w:rsidRDefault="00F245C1" w:rsidP="00F245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en-GB"/>
        </w:rPr>
      </w:pPr>
    </w:p>
    <w:p w14:paraId="7309784C" w14:textId="77777777" w:rsidR="00327894" w:rsidRPr="00F245C1" w:rsidRDefault="00327894">
      <w:pPr>
        <w:rPr>
          <w:lang w:val="it-IT"/>
        </w:rPr>
      </w:pPr>
    </w:p>
    <w:sectPr w:rsidR="00327894" w:rsidRPr="00F245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A6F32"/>
    <w:multiLevelType w:val="hybridMultilevel"/>
    <w:tmpl w:val="A2D0B2FA"/>
    <w:lvl w:ilvl="0" w:tplc="56461DC0">
      <w:start w:val="1"/>
      <w:numFmt w:val="upperRoman"/>
      <w:lvlText w:val="%1."/>
      <w:lvlJc w:val="left"/>
      <w:pPr>
        <w:ind w:left="779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157" w:hanging="360"/>
      </w:pPr>
    </w:lvl>
    <w:lvl w:ilvl="2" w:tplc="0809001B" w:tentative="1">
      <w:start w:val="1"/>
      <w:numFmt w:val="lowerRoman"/>
      <w:lvlText w:val="%3."/>
      <w:lvlJc w:val="right"/>
      <w:pPr>
        <w:ind w:left="8877" w:hanging="180"/>
      </w:pPr>
    </w:lvl>
    <w:lvl w:ilvl="3" w:tplc="0809000F" w:tentative="1">
      <w:start w:val="1"/>
      <w:numFmt w:val="decimal"/>
      <w:lvlText w:val="%4."/>
      <w:lvlJc w:val="left"/>
      <w:pPr>
        <w:ind w:left="9597" w:hanging="360"/>
      </w:pPr>
    </w:lvl>
    <w:lvl w:ilvl="4" w:tplc="08090019" w:tentative="1">
      <w:start w:val="1"/>
      <w:numFmt w:val="lowerLetter"/>
      <w:lvlText w:val="%5."/>
      <w:lvlJc w:val="left"/>
      <w:pPr>
        <w:ind w:left="10317" w:hanging="360"/>
      </w:pPr>
    </w:lvl>
    <w:lvl w:ilvl="5" w:tplc="0809001B" w:tentative="1">
      <w:start w:val="1"/>
      <w:numFmt w:val="lowerRoman"/>
      <w:lvlText w:val="%6."/>
      <w:lvlJc w:val="right"/>
      <w:pPr>
        <w:ind w:left="11037" w:hanging="180"/>
      </w:pPr>
    </w:lvl>
    <w:lvl w:ilvl="6" w:tplc="0809000F" w:tentative="1">
      <w:start w:val="1"/>
      <w:numFmt w:val="decimal"/>
      <w:lvlText w:val="%7."/>
      <w:lvlJc w:val="left"/>
      <w:pPr>
        <w:ind w:left="11757" w:hanging="360"/>
      </w:pPr>
    </w:lvl>
    <w:lvl w:ilvl="7" w:tplc="08090019" w:tentative="1">
      <w:start w:val="1"/>
      <w:numFmt w:val="lowerLetter"/>
      <w:lvlText w:val="%8."/>
      <w:lvlJc w:val="left"/>
      <w:pPr>
        <w:ind w:left="12477" w:hanging="360"/>
      </w:pPr>
    </w:lvl>
    <w:lvl w:ilvl="8" w:tplc="0809001B" w:tentative="1">
      <w:start w:val="1"/>
      <w:numFmt w:val="lowerRoman"/>
      <w:lvlText w:val="%9."/>
      <w:lvlJc w:val="right"/>
      <w:pPr>
        <w:ind w:left="13197" w:hanging="180"/>
      </w:pPr>
    </w:lvl>
  </w:abstractNum>
  <w:abstractNum w:abstractNumId="1" w15:restartNumberingAfterBreak="0">
    <w:nsid w:val="4B5A794D"/>
    <w:multiLevelType w:val="hybridMultilevel"/>
    <w:tmpl w:val="BB9E48A8"/>
    <w:lvl w:ilvl="0" w:tplc="120CC0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C1"/>
    <w:rsid w:val="000F04BF"/>
    <w:rsid w:val="002F48A1"/>
    <w:rsid w:val="00327894"/>
    <w:rsid w:val="00455CC2"/>
    <w:rsid w:val="00621AF6"/>
    <w:rsid w:val="008A17C6"/>
    <w:rsid w:val="008E735E"/>
    <w:rsid w:val="00AE07D5"/>
    <w:rsid w:val="00B461A5"/>
    <w:rsid w:val="00BA0C1B"/>
    <w:rsid w:val="00BC23E2"/>
    <w:rsid w:val="00DD0C80"/>
    <w:rsid w:val="00E81F28"/>
    <w:rsid w:val="00F2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BC0FF"/>
  <w15:chartTrackingRefBased/>
  <w15:docId w15:val="{3F414DF8-A6CA-4507-9413-65772902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1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k">
    <w:name w:val="ak"/>
    <w:basedOn w:val="Normale"/>
    <w:rsid w:val="00F24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nfasigrassetto">
    <w:name w:val="Strong"/>
    <w:basedOn w:val="Carpredefinitoparagrafo"/>
    <w:uiPriority w:val="22"/>
    <w:qFormat/>
    <w:rsid w:val="00F245C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245C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A0C1B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AE07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tonioguarino.it/wp-content/uploads/2016/12/Pagine-di-diritto-romano-V-La-giurisprudenza-e-i-giuristi-Catone-giureconsult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onioguarino.it/wp-content/uploads/2016/12/Pagine-di-diritto-romano-V-La-giurisprudenza-e-i-giuristi-Giavoleno-e-le-definizioni.pdf" TargetMode="External"/><Relationship Id="rId5" Type="http://schemas.openxmlformats.org/officeDocument/2006/relationships/hyperlink" Target="http://local.droit.ulg.ac.be/sa/rida/file/2014/03.ACorbino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mpia</dc:creator>
  <cp:keywords/>
  <dc:description/>
  <cp:lastModifiedBy>mpia</cp:lastModifiedBy>
  <cp:revision>2</cp:revision>
  <dcterms:created xsi:type="dcterms:W3CDTF">2022-03-14T08:51:00Z</dcterms:created>
  <dcterms:modified xsi:type="dcterms:W3CDTF">2022-03-14T08:51:00Z</dcterms:modified>
</cp:coreProperties>
</file>